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51A68D68" w:rsidR="00B85C67" w:rsidRDefault="00594DD0" w:rsidP="00B85C67">
      <w:pPr>
        <w:rPr>
          <w:rFonts w:eastAsia="Times New Roman" w:hint="eastAsia"/>
        </w:rPr>
      </w:pPr>
      <w:r>
        <w:rPr>
          <w:rFonts w:ascii="Arial" w:hAnsi="Arial" w:cs="Arial"/>
          <w:b/>
          <w:bCs/>
          <w:sz w:val="20"/>
          <w:szCs w:val="20"/>
        </w:rPr>
        <w:t xml:space="preserve">3GPP TSG RAN WG1 Meeting </w:t>
      </w:r>
      <w:r w:rsidR="001B2D32">
        <w:rPr>
          <w:rFonts w:ascii="Arial" w:hAnsi="Arial" w:cs="Arial"/>
          <w:b/>
          <w:bCs/>
          <w:sz w:val="20"/>
          <w:szCs w:val="20"/>
        </w:rPr>
        <w:t>#</w:t>
      </w:r>
      <w:r w:rsidR="009D0FAF">
        <w:rPr>
          <w:rFonts w:ascii="Arial" w:hAnsi="Arial" w:cs="Arial"/>
          <w:b/>
          <w:bCs/>
          <w:sz w:val="20"/>
          <w:szCs w:val="20"/>
        </w:rPr>
        <w:t>9</w:t>
      </w:r>
      <w:r w:rsidR="00114FE7">
        <w:rPr>
          <w:rFonts w:ascii="Arial" w:hAnsi="Arial" w:cs="Arial"/>
          <w:b/>
          <w:bCs/>
          <w:sz w:val="20"/>
          <w:szCs w:val="20"/>
        </w:rPr>
        <w:t>5</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1B339B">
        <w:rPr>
          <w:rFonts w:ascii="Arial" w:hAnsi="Arial" w:cs="Arial"/>
          <w:b/>
          <w:bCs/>
          <w:sz w:val="20"/>
          <w:szCs w:val="20"/>
        </w:rPr>
        <w:t>R1-18</w:t>
      </w:r>
      <w:r w:rsidR="009D0FAF">
        <w:rPr>
          <w:rFonts w:ascii="Arial" w:hAnsi="Arial" w:cs="Arial"/>
          <w:b/>
          <w:bCs/>
          <w:sz w:val="20"/>
          <w:szCs w:val="20"/>
        </w:rPr>
        <w:t>1</w:t>
      </w:r>
      <w:r w:rsidR="00A91F87">
        <w:rPr>
          <w:rFonts w:ascii="Arial" w:hAnsi="Arial" w:cs="Arial"/>
          <w:b/>
          <w:bCs/>
          <w:sz w:val="20"/>
          <w:szCs w:val="20"/>
        </w:rPr>
        <w:t>2</w:t>
      </w:r>
      <w:r w:rsidR="009D5157">
        <w:rPr>
          <w:rFonts w:ascii="Arial" w:hAnsi="Arial" w:cs="Arial"/>
          <w:b/>
          <w:bCs/>
          <w:sz w:val="20"/>
          <w:szCs w:val="20"/>
        </w:rPr>
        <w:t>914</w:t>
      </w:r>
    </w:p>
    <w:p w14:paraId="2A527F7E" w14:textId="1A5E6BCA" w:rsidR="00B11415" w:rsidRPr="00B11415" w:rsidRDefault="00F27102"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Spokane, USA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November</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12</w:t>
      </w:r>
      <w:r w:rsidR="009D0FAF" w:rsidRPr="009D0FAF">
        <w:rPr>
          <w:rFonts w:ascii="Arial" w:eastAsia="MS Mincho" w:hAnsi="Arial" w:cs="Arial"/>
          <w:b/>
          <w:bCs/>
          <w:sz w:val="20"/>
          <w:szCs w:val="20"/>
          <w:vertAlign w:val="superscript"/>
          <w:lang w:eastAsia="ja-JP"/>
        </w:rPr>
        <w:t>th</w:t>
      </w:r>
      <w:r w:rsidR="009D0FAF">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1B339B">
        <w:rPr>
          <w:rFonts w:ascii="Arial" w:eastAsia="MS Mincho" w:hAnsi="Arial" w:cs="Arial"/>
          <w:b/>
          <w:bCs/>
          <w:sz w:val="20"/>
          <w:szCs w:val="20"/>
          <w:lang w:eastAsia="ja-JP"/>
        </w:rPr>
        <w:t>1</w:t>
      </w:r>
      <w:r>
        <w:rPr>
          <w:rFonts w:ascii="Arial" w:eastAsia="MS Mincho" w:hAnsi="Arial" w:cs="Arial"/>
          <w:b/>
          <w:bCs/>
          <w:sz w:val="20"/>
          <w:szCs w:val="20"/>
          <w:lang w:eastAsia="ja-JP"/>
        </w:rPr>
        <w:t>6</w:t>
      </w:r>
      <w:bookmarkStart w:id="0" w:name="_GoBack"/>
      <w:bookmarkEnd w:id="0"/>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06E35219"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9D0FAF">
        <w:rPr>
          <w:sz w:val="22"/>
          <w:szCs w:val="22"/>
        </w:rPr>
        <w:t>2</w:t>
      </w:r>
      <w:r w:rsidR="00A91F87">
        <w:rPr>
          <w:sz w:val="22"/>
          <w:szCs w:val="22"/>
        </w:rPr>
        <w:t>.2</w:t>
      </w:r>
      <w:r w:rsidR="009D0FAF">
        <w:rPr>
          <w:sz w:val="22"/>
          <w:szCs w:val="22"/>
        </w:rPr>
        <w:t>.3.1</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58D106E4" w:rsidR="008E401E" w:rsidRDefault="003D3C45" w:rsidP="00311702">
      <w:pPr>
        <w:pStyle w:val="3GPPHeader"/>
        <w:rPr>
          <w:sz w:val="22"/>
          <w:szCs w:val="22"/>
        </w:rPr>
      </w:pPr>
      <w:r w:rsidRPr="00315C6E">
        <w:rPr>
          <w:sz w:val="22"/>
          <w:szCs w:val="22"/>
        </w:rPr>
        <w:t>Title:</w:t>
      </w:r>
      <w:r w:rsidR="00E90E49" w:rsidRPr="00315C6E">
        <w:rPr>
          <w:sz w:val="22"/>
          <w:szCs w:val="22"/>
        </w:rPr>
        <w:tab/>
      </w:r>
      <w:r w:rsidR="009D0FAF">
        <w:rPr>
          <w:sz w:val="22"/>
          <w:szCs w:val="22"/>
        </w:rPr>
        <w:t>On DL Signals and Channels for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E210350" w14:textId="77777777" w:rsidR="008B4716" w:rsidRDefault="008B4716" w:rsidP="008B4716">
      <w:pPr>
        <w:jc w:val="both"/>
      </w:pPr>
      <w:r>
        <w:t>LTE based unlicensed operations, i.e. LAA/</w:t>
      </w:r>
      <w:proofErr w:type="spellStart"/>
      <w:r>
        <w:t>eLAA</w:t>
      </w:r>
      <w:proofErr w:type="spellEnd"/>
      <w:r>
        <w:t xml:space="preserve">, were introduced starting from Rel-13. A Rel-15 study item </w:t>
      </w:r>
      <w:r>
        <w:fldChar w:fldCharType="begin"/>
      </w:r>
      <w:r>
        <w:instrText xml:space="preserve"> REF _Ref506552387 \r \h </w:instrText>
      </w:r>
      <w:r>
        <w:fldChar w:fldCharType="separate"/>
      </w:r>
      <w:r>
        <w:t>[1]</w:t>
      </w:r>
      <w:r>
        <w:fldChar w:fldCharType="end"/>
      </w:r>
      <w:r>
        <w:t xml:space="preserve"> on NR-based unlicensed access has been approved to study the solutions applicable to potential spectrum candidates both below and above 6Ghz, as well as various deployment scenarios, including CA or DC based LAA and standalone based unlicensed operations.   </w:t>
      </w:r>
    </w:p>
    <w:p w14:paraId="2EACFD34" w14:textId="77777777" w:rsidR="006C3EA8" w:rsidRDefault="006C3EA8" w:rsidP="009A28B6">
      <w:pPr>
        <w:jc w:val="both"/>
      </w:pPr>
    </w:p>
    <w:p w14:paraId="0359156D" w14:textId="2215F5AC" w:rsidR="008B4716" w:rsidRDefault="00FC65EA" w:rsidP="009A28B6">
      <w:pPr>
        <w:jc w:val="both"/>
      </w:pPr>
      <w:r>
        <w:t xml:space="preserve">In RAN1 #93, It was </w:t>
      </w:r>
      <w:r w:rsidR="008B4716">
        <w:t xml:space="preserve">agreed that </w:t>
      </w:r>
      <w:r w:rsidR="007215F6">
        <w:fldChar w:fldCharType="begin"/>
      </w:r>
      <w:r w:rsidR="007215F6">
        <w:instrText xml:space="preserve"> REF _Ref521592019 \n \h </w:instrText>
      </w:r>
      <w:r w:rsidR="007215F6">
        <w:fldChar w:fldCharType="separate"/>
      </w:r>
      <w:r w:rsidR="007215F6">
        <w:t>[3]</w:t>
      </w:r>
      <w:r w:rsidR="007215F6">
        <w:fldChar w:fldCharType="end"/>
      </w:r>
    </w:p>
    <w:p w14:paraId="10FEE976" w14:textId="77777777" w:rsidR="0095540B" w:rsidRDefault="0095540B" w:rsidP="0095540B">
      <w:pPr>
        <w:pStyle w:val="bullet"/>
        <w:numPr>
          <w:ilvl w:val="0"/>
          <w:numId w:val="0"/>
        </w:numPr>
        <w:rPr>
          <w:sz w:val="24"/>
          <w:highlight w:val="green"/>
        </w:rPr>
      </w:pPr>
    </w:p>
    <w:p w14:paraId="4A5F1BB2" w14:textId="77777777" w:rsidR="0095540B" w:rsidRPr="0095540B" w:rsidRDefault="0095540B" w:rsidP="0095540B">
      <w:pPr>
        <w:pStyle w:val="bullet"/>
        <w:numPr>
          <w:ilvl w:val="0"/>
          <w:numId w:val="0"/>
        </w:numPr>
        <w:rPr>
          <w:sz w:val="24"/>
        </w:rPr>
      </w:pPr>
      <w:r w:rsidRPr="0095540B">
        <w:rPr>
          <w:sz w:val="24"/>
          <w:highlight w:val="green"/>
        </w:rPr>
        <w:t>Agreement:</w:t>
      </w:r>
    </w:p>
    <w:p w14:paraId="3DB64877" w14:textId="77777777" w:rsidR="0095540B" w:rsidRPr="0095540B" w:rsidRDefault="0095540B" w:rsidP="0095540B">
      <w:pPr>
        <w:pStyle w:val="bullet"/>
        <w:numPr>
          <w:ilvl w:val="0"/>
          <w:numId w:val="35"/>
        </w:numPr>
        <w:ind w:firstLine="400"/>
        <w:rPr>
          <w:sz w:val="24"/>
        </w:rPr>
      </w:pPr>
      <w:r w:rsidRPr="0095540B">
        <w:rPr>
          <w:sz w:val="24"/>
        </w:rPr>
        <w:t xml:space="preserve">Benefits of using a signal that facilitates its detection with low complexity can be investigated including all/part of the following scenarios/use cases: </w:t>
      </w:r>
    </w:p>
    <w:p w14:paraId="1506DE0A" w14:textId="77777777" w:rsidR="0095540B" w:rsidRPr="0095540B" w:rsidRDefault="0095540B" w:rsidP="0095540B">
      <w:pPr>
        <w:pStyle w:val="bullet"/>
        <w:numPr>
          <w:ilvl w:val="1"/>
          <w:numId w:val="35"/>
        </w:numPr>
        <w:ind w:firstLine="400"/>
        <w:rPr>
          <w:sz w:val="24"/>
        </w:rPr>
      </w:pPr>
      <w:r w:rsidRPr="0095540B">
        <w:rPr>
          <w:sz w:val="24"/>
        </w:rPr>
        <w:t>UE power saving</w:t>
      </w:r>
    </w:p>
    <w:p w14:paraId="4380F32F" w14:textId="77777777" w:rsidR="0095540B" w:rsidRPr="0095540B" w:rsidRDefault="0095540B" w:rsidP="0095540B">
      <w:pPr>
        <w:pStyle w:val="bullet"/>
        <w:numPr>
          <w:ilvl w:val="1"/>
          <w:numId w:val="35"/>
        </w:numPr>
        <w:ind w:firstLine="400"/>
        <w:rPr>
          <w:sz w:val="24"/>
        </w:rPr>
      </w:pPr>
      <w:r w:rsidRPr="0095540B">
        <w:rPr>
          <w:sz w:val="24"/>
        </w:rPr>
        <w:t>Improved coexistence</w:t>
      </w:r>
    </w:p>
    <w:p w14:paraId="44FE2BD7" w14:textId="77777777" w:rsidR="0095540B" w:rsidRPr="0095540B" w:rsidRDefault="0095540B" w:rsidP="0095540B">
      <w:pPr>
        <w:pStyle w:val="bullet"/>
        <w:numPr>
          <w:ilvl w:val="1"/>
          <w:numId w:val="35"/>
        </w:numPr>
        <w:ind w:firstLine="400"/>
        <w:rPr>
          <w:sz w:val="24"/>
        </w:rPr>
      </w:pPr>
      <w:r w:rsidRPr="0095540B">
        <w:rPr>
          <w:sz w:val="24"/>
        </w:rPr>
        <w:t xml:space="preserve">Spatial reuse at least within the same operator network </w:t>
      </w:r>
    </w:p>
    <w:p w14:paraId="65E4A1CF" w14:textId="77777777" w:rsidR="0095540B" w:rsidRPr="0095540B" w:rsidRDefault="0095540B" w:rsidP="0095540B">
      <w:pPr>
        <w:pStyle w:val="bullet"/>
        <w:numPr>
          <w:ilvl w:val="1"/>
          <w:numId w:val="35"/>
        </w:numPr>
        <w:ind w:firstLine="400"/>
        <w:rPr>
          <w:sz w:val="24"/>
        </w:rPr>
      </w:pPr>
      <w:r w:rsidRPr="0095540B">
        <w:rPr>
          <w:sz w:val="24"/>
        </w:rPr>
        <w:t>Serving cell transmission burst acquisition</w:t>
      </w:r>
    </w:p>
    <w:p w14:paraId="0F205FB7" w14:textId="77777777" w:rsidR="0095540B" w:rsidRPr="0095540B" w:rsidRDefault="0095540B" w:rsidP="0095540B">
      <w:pPr>
        <w:pStyle w:val="bullet"/>
        <w:numPr>
          <w:ilvl w:val="1"/>
          <w:numId w:val="35"/>
        </w:numPr>
        <w:ind w:firstLine="400"/>
        <w:rPr>
          <w:sz w:val="24"/>
        </w:rPr>
      </w:pPr>
      <w:r w:rsidRPr="0095540B">
        <w:rPr>
          <w:sz w:val="24"/>
        </w:rPr>
        <w:t>FFS: further usage scenarios</w:t>
      </w:r>
    </w:p>
    <w:p w14:paraId="0466F1CC" w14:textId="77777777" w:rsidR="0095540B" w:rsidRDefault="0095540B" w:rsidP="009A28B6">
      <w:pPr>
        <w:jc w:val="both"/>
      </w:pPr>
    </w:p>
    <w:p w14:paraId="0A75F70C" w14:textId="338FA600" w:rsidR="00CB65F8" w:rsidRDefault="003A47C5" w:rsidP="009A28B6">
      <w:pPr>
        <w:jc w:val="both"/>
      </w:pPr>
      <w:r>
        <w:t xml:space="preserve">In RAN1 #94, several contributions </w:t>
      </w:r>
      <w:r w:rsidR="00AE7CCD">
        <w:t>were submitted discussing</w:t>
      </w:r>
      <w:r>
        <w:t xml:space="preserve"> the possible design and use cases of “initial signal”</w:t>
      </w:r>
      <w:r w:rsidR="00AE7CCD">
        <w:t xml:space="preserve"> (e.g. </w:t>
      </w:r>
      <w:r w:rsidR="00AE7CCD">
        <w:fldChar w:fldCharType="begin"/>
      </w:r>
      <w:r w:rsidR="00AE7CCD">
        <w:instrText xml:space="preserve"> REF _Ref525913885 \n \h </w:instrText>
      </w:r>
      <w:r w:rsidR="00AE7CCD">
        <w:fldChar w:fldCharType="separate"/>
      </w:r>
      <w:r w:rsidR="00AE7CCD">
        <w:t>[5]</w:t>
      </w:r>
      <w:r w:rsidR="00AE7CCD">
        <w:fldChar w:fldCharType="end"/>
      </w:r>
      <w:r w:rsidR="00AE7CCD">
        <w:fldChar w:fldCharType="begin"/>
      </w:r>
      <w:r w:rsidR="00AE7CCD">
        <w:instrText xml:space="preserve"> REF _Ref525913893 \n \h </w:instrText>
      </w:r>
      <w:r w:rsidR="00AE7CCD">
        <w:fldChar w:fldCharType="separate"/>
      </w:r>
      <w:r w:rsidR="00AE7CCD">
        <w:t>[6]</w:t>
      </w:r>
      <w:r w:rsidR="00AE7CCD">
        <w:fldChar w:fldCharType="end"/>
      </w:r>
      <w:r w:rsidR="00AE7CCD">
        <w:fldChar w:fldCharType="begin"/>
      </w:r>
      <w:r w:rsidR="00AE7CCD">
        <w:instrText xml:space="preserve"> REF _Ref525913895 \n \h </w:instrText>
      </w:r>
      <w:r w:rsidR="00AE7CCD">
        <w:fldChar w:fldCharType="separate"/>
      </w:r>
      <w:r w:rsidR="00AE7CCD">
        <w:t>[7]</w:t>
      </w:r>
      <w:r w:rsidR="00AE7CCD">
        <w:fldChar w:fldCharType="end"/>
      </w:r>
      <w:r w:rsidR="00AE7CCD">
        <w:fldChar w:fldCharType="begin"/>
      </w:r>
      <w:r w:rsidR="00AE7CCD">
        <w:instrText xml:space="preserve"> REF _Ref525913897 \n \h </w:instrText>
      </w:r>
      <w:r w:rsidR="00AE7CCD">
        <w:fldChar w:fldCharType="separate"/>
      </w:r>
      <w:r w:rsidR="00AE7CCD">
        <w:t>[8]</w:t>
      </w:r>
      <w:r w:rsidR="00AE7CCD">
        <w:fldChar w:fldCharType="end"/>
      </w:r>
      <w:r w:rsidR="00AE7CCD">
        <w:fldChar w:fldCharType="begin"/>
      </w:r>
      <w:r w:rsidR="00AE7CCD">
        <w:instrText xml:space="preserve"> REF _Ref510794934 \n \h </w:instrText>
      </w:r>
      <w:r w:rsidR="00AE7CCD">
        <w:fldChar w:fldCharType="separate"/>
      </w:r>
      <w:r w:rsidR="00AE7CCD">
        <w:t>[9]</w:t>
      </w:r>
      <w:r w:rsidR="00AE7CCD">
        <w:fldChar w:fldCharType="end"/>
      </w:r>
      <w:r w:rsidR="008C02EF">
        <w:t xml:space="preserve">). In addition, it was also discussed in RAN #81 </w:t>
      </w:r>
      <w:r w:rsidR="008C02EF">
        <w:fldChar w:fldCharType="begin"/>
      </w:r>
      <w:r w:rsidR="008C02EF">
        <w:instrText xml:space="preserve"> REF _Ref525914517 \n \h </w:instrText>
      </w:r>
      <w:r w:rsidR="008C02EF">
        <w:fldChar w:fldCharType="separate"/>
      </w:r>
      <w:r w:rsidR="008C02EF">
        <w:t>[10]</w:t>
      </w:r>
      <w:r w:rsidR="008C02EF">
        <w:fldChar w:fldCharType="end"/>
      </w:r>
      <w:r w:rsidR="008C02EF">
        <w:t xml:space="preserve"> that</w:t>
      </w:r>
      <w:r w:rsidR="00CB65F8">
        <w:t xml:space="preserve"> adopting a preamble mechanism should be studied for 5GHz band for improving intra and inter-operator NR-U sharing, as well as a new sharing framework should be studied for new unlicensed bands &lt;7GHz.</w:t>
      </w:r>
    </w:p>
    <w:p w14:paraId="7C56D8F3" w14:textId="6A933091" w:rsidR="0095540B" w:rsidRDefault="00CB65F8" w:rsidP="009A28B6">
      <w:pPr>
        <w:jc w:val="both"/>
      </w:pPr>
      <w:r>
        <w:t xml:space="preserve"> </w:t>
      </w:r>
    </w:p>
    <w:p w14:paraId="19C1B459" w14:textId="4225C6DA" w:rsidR="006C3EA8" w:rsidRDefault="009A28B6" w:rsidP="009A28B6">
      <w:pPr>
        <w:jc w:val="both"/>
      </w:pPr>
      <w:r>
        <w:t xml:space="preserve">In this contribution, we briefly discuss </w:t>
      </w:r>
      <w:r w:rsidR="00936CE0">
        <w:t xml:space="preserve">potential challenges and solutions to </w:t>
      </w:r>
      <w:r w:rsidR="000659B9">
        <w:t xml:space="preserve">DL </w:t>
      </w:r>
      <w:r w:rsidR="00936CE0">
        <w:t>channel design in unlicensed spectrum access</w:t>
      </w:r>
      <w:r>
        <w:t>.</w:t>
      </w:r>
      <w:r w:rsidR="000659B9">
        <w:t xml:space="preserve"> In </w:t>
      </w:r>
      <w:r w:rsidR="00E00C1E">
        <w:t>companion paper</w:t>
      </w:r>
      <w:r w:rsidR="000659B9">
        <w:t>s</w:t>
      </w:r>
      <w:r w:rsidR="0032088C">
        <w:fldChar w:fldCharType="begin"/>
      </w:r>
      <w:r w:rsidR="0032088C">
        <w:instrText xml:space="preserve"> REF _Ref525914856 \n \h </w:instrText>
      </w:r>
      <w:r w:rsidR="0032088C">
        <w:fldChar w:fldCharType="separate"/>
      </w:r>
      <w:r w:rsidR="0032088C">
        <w:t>[11]</w:t>
      </w:r>
      <w:r w:rsidR="0032088C">
        <w:fldChar w:fldCharType="end"/>
      </w:r>
      <w:r w:rsidR="0032088C">
        <w:fldChar w:fldCharType="begin"/>
      </w:r>
      <w:r w:rsidR="0032088C">
        <w:instrText xml:space="preserve"> REF _Ref525914857 \n \h </w:instrText>
      </w:r>
      <w:r w:rsidR="0032088C">
        <w:fldChar w:fldCharType="separate"/>
      </w:r>
      <w:r w:rsidR="0032088C">
        <w:t>[12]</w:t>
      </w:r>
      <w:r w:rsidR="0032088C">
        <w:fldChar w:fldCharType="end"/>
      </w:r>
      <w:r w:rsidR="00E00C1E">
        <w:t xml:space="preserve">, we also briefly discuss other potential enhancements to physical layer procedures </w:t>
      </w:r>
      <w:r w:rsidR="0032088C">
        <w:t>including dynamic bandwidth adaptation in wideband operation, RACH waveform</w:t>
      </w:r>
      <w:r w:rsidR="00D54484">
        <w:t xml:space="preserve"> </w:t>
      </w:r>
      <w:r w:rsidR="0032088C">
        <w:t xml:space="preserve">and channel access </w:t>
      </w:r>
      <w:r w:rsidR="00D54484">
        <w:t>for unlicensed access</w:t>
      </w:r>
      <w:r w:rsidR="00E00C1E">
        <w:t>.</w:t>
      </w:r>
    </w:p>
    <w:p w14:paraId="20B2BA9C" w14:textId="77777777" w:rsidR="006F574B" w:rsidRDefault="006F574B" w:rsidP="006F21A8">
      <w:pPr>
        <w:jc w:val="both"/>
        <w:rPr>
          <w:b/>
          <w:i/>
          <w:sz w:val="20"/>
          <w:szCs w:val="20"/>
        </w:rPr>
      </w:pPr>
    </w:p>
    <w:p w14:paraId="6EF1353F" w14:textId="384D2C2F" w:rsidR="009E13F4" w:rsidRDefault="004657C4" w:rsidP="009E13F4">
      <w:pPr>
        <w:pStyle w:val="Heading1"/>
      </w:pPr>
      <w:r>
        <w:t>Preamble-based Initial s</w:t>
      </w:r>
      <w:r w:rsidR="009E13F4">
        <w:t>ignal for NR Unlicensed</w:t>
      </w:r>
    </w:p>
    <w:p w14:paraId="7CB3A8DA" w14:textId="69E6359A" w:rsidR="00933A67" w:rsidRDefault="00933A67" w:rsidP="00933A67">
      <w:pPr>
        <w:pStyle w:val="Heading2"/>
      </w:pPr>
      <w:r>
        <w:t>UE power saving</w:t>
      </w:r>
    </w:p>
    <w:p w14:paraId="3DBF4D5C" w14:textId="200D04D2" w:rsidR="00294797" w:rsidRPr="00294797" w:rsidRDefault="00294797" w:rsidP="00294797">
      <w:pPr>
        <w:pStyle w:val="Heading3"/>
      </w:pPr>
      <w:r>
        <w:t>Power saving for NR-U devices</w:t>
      </w:r>
    </w:p>
    <w:p w14:paraId="3694B0E4" w14:textId="77777777" w:rsidR="009E13F4" w:rsidRDefault="009E13F4" w:rsidP="009E13F4">
      <w:pPr>
        <w:jc w:val="both"/>
      </w:pPr>
      <w:r>
        <w:t xml:space="preserve">In existing LAA, UE needs to monitor downlink control channel at the slot boundaries. It is known that control channel monitoring is power consuming, and in a typical “day of use” statistics, large portion of the control channel decoding happens in subframes where the UE receives no grant or scheduling. This issue could potentially be more notable in a loaded deployment in unlicensed spectrum, as the serving </w:t>
      </w:r>
      <w:proofErr w:type="spellStart"/>
      <w:r>
        <w:t>gNB</w:t>
      </w:r>
      <w:proofErr w:type="spellEnd"/>
      <w:r>
        <w:t xml:space="preserve"> may not even get access to the medium due to LBT failures. </w:t>
      </w:r>
    </w:p>
    <w:p w14:paraId="0152F02D" w14:textId="77777777" w:rsidR="009E13F4" w:rsidRDefault="009E13F4" w:rsidP="009E13F4">
      <w:pPr>
        <w:jc w:val="both"/>
      </w:pPr>
    </w:p>
    <w:p w14:paraId="65D49D8D" w14:textId="77777777" w:rsidR="009E13F4" w:rsidRDefault="009E13F4" w:rsidP="009E13F4">
      <w:pPr>
        <w:jc w:val="both"/>
      </w:pPr>
      <w:r>
        <w:t xml:space="preserve">Further, this situation could potentially get worse in NR-U due to the support of flexible frame structure (e.g. mini-slot) and shorter TTI using scaled numerology. From spectrum utilization perspective, the flexible frame structure and shorter TTI can allow </w:t>
      </w:r>
      <w:proofErr w:type="spellStart"/>
      <w:r>
        <w:t>gNB</w:t>
      </w:r>
      <w:proofErr w:type="spellEnd"/>
      <w:r>
        <w:t xml:space="preserve"> to access the available channel faster and more efficiently. On the other hand, this also implies that UE will have to monitor the downlink control channel more often.</w:t>
      </w:r>
    </w:p>
    <w:p w14:paraId="28AD14B3" w14:textId="77777777" w:rsidR="009E13F4" w:rsidRDefault="009E13F4" w:rsidP="009E13F4">
      <w:pPr>
        <w:jc w:val="both"/>
      </w:pPr>
    </w:p>
    <w:p w14:paraId="12FFDA3E" w14:textId="36FC0E41" w:rsidR="009E13F4" w:rsidRDefault="009E13F4" w:rsidP="009E13F4">
      <w:pPr>
        <w:jc w:val="both"/>
      </w:pPr>
      <w:r>
        <w:t xml:space="preserve">A low complexity </w:t>
      </w:r>
      <w:r w:rsidR="00FC65EA">
        <w:t>“</w:t>
      </w:r>
      <w:r w:rsidR="00FC65EA" w:rsidRPr="00FC65EA">
        <w:rPr>
          <w:i/>
        </w:rPr>
        <w:t>initial</w:t>
      </w:r>
      <w:r w:rsidRPr="00FC65EA">
        <w:rPr>
          <w:i/>
        </w:rPr>
        <w:t xml:space="preserve"> signal</w:t>
      </w:r>
      <w:r w:rsidR="00FC65EA">
        <w:t>”</w:t>
      </w:r>
      <w:r>
        <w:t xml:space="preserve"> could potentially help achieving a more favorable trade-off between </w:t>
      </w:r>
      <w:r w:rsidRPr="00FC65EA">
        <w:rPr>
          <w:i/>
        </w:rPr>
        <w:t>medium access latency</w:t>
      </w:r>
      <w:r>
        <w:t xml:space="preserve"> and </w:t>
      </w:r>
      <w:r w:rsidRPr="00FC65EA">
        <w:rPr>
          <w:i/>
        </w:rPr>
        <w:t>UE monitoring complexity</w:t>
      </w:r>
      <w:r>
        <w:t xml:space="preserve">. One possible solution of the </w:t>
      </w:r>
      <w:r w:rsidR="00FC65EA">
        <w:t>initial</w:t>
      </w:r>
      <w:r>
        <w:t xml:space="preserve"> signal is illustrated in </w:t>
      </w:r>
      <w:r>
        <w:fldChar w:fldCharType="begin"/>
      </w:r>
      <w:r>
        <w:instrText xml:space="preserve"> REF _Ref521574855 \h </w:instrText>
      </w:r>
      <w:r>
        <w:fldChar w:fldCharType="separate"/>
      </w:r>
      <w:r>
        <w:t xml:space="preserve">Figure </w:t>
      </w:r>
      <w:r>
        <w:rPr>
          <w:noProof/>
        </w:rPr>
        <w:t>2</w:t>
      </w:r>
      <w:r>
        <w:noBreakHyphen/>
      </w:r>
      <w:r>
        <w:rPr>
          <w:noProof/>
        </w:rPr>
        <w:t>1</w:t>
      </w:r>
      <w:r>
        <w:fldChar w:fldCharType="end"/>
      </w:r>
    </w:p>
    <w:p w14:paraId="7C642D60" w14:textId="77777777" w:rsidR="009E13F4" w:rsidRDefault="009E13F4" w:rsidP="009E13F4">
      <w:pPr>
        <w:jc w:val="both"/>
      </w:pPr>
    </w:p>
    <w:p w14:paraId="2A2DA633" w14:textId="64B38A57" w:rsidR="009E13F4" w:rsidRDefault="00A408EC" w:rsidP="009E13F4">
      <w:pPr>
        <w:jc w:val="center"/>
      </w:pPr>
      <w:r w:rsidRPr="00A408EC">
        <w:rPr>
          <w:noProof/>
        </w:rPr>
        <w:drawing>
          <wp:inline distT="0" distB="0" distL="0" distR="0" wp14:anchorId="56CF2A15" wp14:editId="43F341EA">
            <wp:extent cx="4764024" cy="8046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4024" cy="804672"/>
                    </a:xfrm>
                    <a:prstGeom prst="rect">
                      <a:avLst/>
                    </a:prstGeom>
                  </pic:spPr>
                </pic:pic>
              </a:graphicData>
            </a:graphic>
          </wp:inline>
        </w:drawing>
      </w:r>
    </w:p>
    <w:p w14:paraId="344DC2C7" w14:textId="1D365DCB" w:rsidR="009E13F4" w:rsidRPr="007C662F" w:rsidRDefault="009E13F4" w:rsidP="009E13F4">
      <w:pPr>
        <w:pStyle w:val="Caption"/>
      </w:pPr>
      <w:bookmarkStart w:id="1" w:name="_Ref521574855"/>
      <w:r>
        <w:t xml:space="preserve">Figure </w:t>
      </w:r>
      <w:fldSimple w:instr=" STYLEREF 1 \s ">
        <w:r>
          <w:rPr>
            <w:noProof/>
          </w:rPr>
          <w:t>3</w:t>
        </w:r>
      </w:fldSimple>
      <w:r>
        <w:noBreakHyphen/>
      </w:r>
      <w:fldSimple w:instr=" SEQ Figure \* ARABIC \s 1 ">
        <w:r>
          <w:rPr>
            <w:noProof/>
          </w:rPr>
          <w:t>1</w:t>
        </w:r>
      </w:fldSimple>
      <w:bookmarkEnd w:id="1"/>
      <w:r>
        <w:t xml:space="preserve"> </w:t>
      </w:r>
      <w:r w:rsidR="00A408EC">
        <w:t>Initial</w:t>
      </w:r>
      <w:r>
        <w:t xml:space="preserve"> signal for NR-U</w:t>
      </w:r>
    </w:p>
    <w:p w14:paraId="26361460" w14:textId="69DCCEF1" w:rsidR="009E13F4" w:rsidRDefault="009E13F4" w:rsidP="009E13F4">
      <w:pPr>
        <w:jc w:val="both"/>
      </w:pPr>
      <w:r>
        <w:t xml:space="preserve">Specifically, the </w:t>
      </w:r>
      <w:r w:rsidR="00FC65EA">
        <w:t>initial</w:t>
      </w:r>
      <w:r>
        <w:t xml:space="preserve"> signal may include the following fields:</w:t>
      </w:r>
    </w:p>
    <w:p w14:paraId="03B876AD" w14:textId="77777777" w:rsidR="009E13F4" w:rsidRDefault="009E13F4" w:rsidP="009E13F4">
      <w:pPr>
        <w:pStyle w:val="ListParagraph"/>
        <w:numPr>
          <w:ilvl w:val="0"/>
          <w:numId w:val="35"/>
        </w:numPr>
        <w:jc w:val="both"/>
      </w:pPr>
      <w:r>
        <w:t>A low complexity detection preamble: this could help UE monitor the channel occupancy at lower cost than regular DCI monitoring, both from UE RF complexity and baseband complexity. It is desirable that the detection preamble is universal (at least within NR-U). A universal detection preamble could also allow coherent detection and achieve better coexistence with other devices.</w:t>
      </w:r>
    </w:p>
    <w:p w14:paraId="56AD8F7B" w14:textId="77777777" w:rsidR="009E13F4" w:rsidRDefault="009E13F4" w:rsidP="009E13F4">
      <w:pPr>
        <w:pStyle w:val="ListParagraph"/>
        <w:numPr>
          <w:ilvl w:val="0"/>
          <w:numId w:val="35"/>
        </w:numPr>
        <w:jc w:val="both"/>
      </w:pPr>
      <w:r>
        <w:t>COT information: this information, if detected, can help other devices skip unnecessary blind control channel decoding</w:t>
      </w:r>
    </w:p>
    <w:p w14:paraId="5B664A35" w14:textId="77777777" w:rsidR="009E13F4" w:rsidRDefault="009E13F4" w:rsidP="009E13F4">
      <w:pPr>
        <w:pStyle w:val="ListParagraph"/>
        <w:numPr>
          <w:ilvl w:val="0"/>
          <w:numId w:val="35"/>
        </w:numPr>
        <w:jc w:val="both"/>
      </w:pPr>
      <w:r>
        <w:t>Cell ID and optional UE group ID indication: this information, together with COT, can help devices skip unnecessary blind control channel decoding.</w:t>
      </w:r>
    </w:p>
    <w:p w14:paraId="7E39BC00" w14:textId="77777777" w:rsidR="009E13F4" w:rsidRDefault="009E13F4" w:rsidP="009E13F4">
      <w:pPr>
        <w:jc w:val="both"/>
      </w:pPr>
    </w:p>
    <w:p w14:paraId="07EE49A9" w14:textId="77777777" w:rsidR="009E13F4" w:rsidRDefault="009E13F4" w:rsidP="009E13F4">
      <w:pPr>
        <w:jc w:val="both"/>
      </w:pPr>
      <w:r>
        <w:t xml:space="preserve">To briefly illustrate, </w:t>
      </w:r>
      <w:r>
        <w:fldChar w:fldCharType="begin"/>
      </w:r>
      <w:r>
        <w:instrText xml:space="preserve"> REF _Ref521576373 \h </w:instrText>
      </w:r>
      <w:r>
        <w:fldChar w:fldCharType="separate"/>
      </w:r>
      <w:r>
        <w:t xml:space="preserve">Figure </w:t>
      </w:r>
      <w:r>
        <w:rPr>
          <w:noProof/>
        </w:rPr>
        <w:t>2</w:t>
      </w:r>
      <w:r>
        <w:noBreakHyphen/>
      </w:r>
      <w:r>
        <w:rPr>
          <w:noProof/>
        </w:rPr>
        <w:t>2</w:t>
      </w:r>
      <w:r>
        <w:fldChar w:fldCharType="end"/>
      </w:r>
      <w:r>
        <w:t xml:space="preserve"> shows example that an NR-U device only wakeup to try control channel decoding after its associated cell ID is detected from the wake-up signal.</w:t>
      </w:r>
    </w:p>
    <w:p w14:paraId="5B8C7D08" w14:textId="77777777" w:rsidR="009E13F4" w:rsidRDefault="009E13F4" w:rsidP="009E13F4">
      <w:pPr>
        <w:jc w:val="both"/>
      </w:pPr>
    </w:p>
    <w:p w14:paraId="37A5954A" w14:textId="77777777" w:rsidR="009E13F4" w:rsidRDefault="009E13F4" w:rsidP="009E13F4">
      <w:pPr>
        <w:jc w:val="both"/>
      </w:pPr>
      <w:r w:rsidRPr="002C14DA">
        <w:rPr>
          <w:noProof/>
        </w:rPr>
        <w:drawing>
          <wp:inline distT="0" distB="0" distL="0" distR="0" wp14:anchorId="1D066E5F" wp14:editId="1AC5017D">
            <wp:extent cx="6120765" cy="125920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259205"/>
                    </a:xfrm>
                    <a:prstGeom prst="rect">
                      <a:avLst/>
                    </a:prstGeom>
                  </pic:spPr>
                </pic:pic>
              </a:graphicData>
            </a:graphic>
          </wp:inline>
        </w:drawing>
      </w:r>
    </w:p>
    <w:p w14:paraId="665D1B9C" w14:textId="77777777" w:rsidR="009E13F4" w:rsidRDefault="009E13F4" w:rsidP="009E13F4">
      <w:pPr>
        <w:pStyle w:val="Caption"/>
      </w:pPr>
      <w:bookmarkStart w:id="2" w:name="_Ref521576373"/>
      <w:r>
        <w:t xml:space="preserve">Figure </w:t>
      </w:r>
      <w:fldSimple w:instr=" STYLEREF 1 \s ">
        <w:r>
          <w:rPr>
            <w:noProof/>
          </w:rPr>
          <w:t>3</w:t>
        </w:r>
      </w:fldSimple>
      <w:r>
        <w:noBreakHyphen/>
      </w:r>
      <w:fldSimple w:instr=" SEQ Figure \* ARABIC \s 1 ">
        <w:r>
          <w:rPr>
            <w:noProof/>
          </w:rPr>
          <w:t>2</w:t>
        </w:r>
      </w:fldSimple>
      <w:bookmarkEnd w:id="2"/>
      <w:r>
        <w:t xml:space="preserve"> UE wake up from serving cell </w:t>
      </w:r>
    </w:p>
    <w:p w14:paraId="1CF926CF" w14:textId="77777777" w:rsidR="009E13F4" w:rsidRDefault="009E13F4" w:rsidP="009E13F4"/>
    <w:p w14:paraId="1D52A5B3" w14:textId="77777777" w:rsidR="009E13F4" w:rsidRDefault="009E13F4" w:rsidP="009E13F4">
      <w:pPr>
        <w:jc w:val="both"/>
      </w:pPr>
      <w:r>
        <w:t xml:space="preserve">The benefit of the wake-up signal is clear when the UE and </w:t>
      </w:r>
      <w:proofErr w:type="spellStart"/>
      <w:r>
        <w:t>gNB</w:t>
      </w:r>
      <w:proofErr w:type="spellEnd"/>
      <w:r>
        <w:t xml:space="preserve"> are synchronous, i.e., it is either the serving </w:t>
      </w:r>
      <w:proofErr w:type="spellStart"/>
      <w:r>
        <w:t>gNB</w:t>
      </w:r>
      <w:proofErr w:type="spellEnd"/>
      <w:r>
        <w:t xml:space="preserve">, or a different </w:t>
      </w:r>
      <w:proofErr w:type="spellStart"/>
      <w:r>
        <w:t>gNB</w:t>
      </w:r>
      <w:proofErr w:type="spellEnd"/>
      <w:r>
        <w:t xml:space="preserve"> but deployed within a synchronous network. Additionally, a UE might still benefit from the wake-up signal even from an asynchronous non-serving </w:t>
      </w:r>
      <w:proofErr w:type="spellStart"/>
      <w:r>
        <w:t>gNB</w:t>
      </w:r>
      <w:proofErr w:type="spellEnd"/>
      <w:r>
        <w:t xml:space="preserve">. </w:t>
      </w:r>
    </w:p>
    <w:p w14:paraId="06AB76FB" w14:textId="77777777" w:rsidR="009E13F4" w:rsidRDefault="009E13F4" w:rsidP="009E13F4">
      <w:pPr>
        <w:jc w:val="both"/>
      </w:pPr>
      <w:r>
        <w:t xml:space="preserve">In practice, a </w:t>
      </w:r>
      <w:proofErr w:type="spellStart"/>
      <w:r>
        <w:t>gNB</w:t>
      </w:r>
      <w:proofErr w:type="spellEnd"/>
      <w:r>
        <w:t xml:space="preserve"> will likely grab the channel between scheduling boundaries after a successful LBT and back off procedure. In such scenario, the </w:t>
      </w:r>
      <w:proofErr w:type="spellStart"/>
      <w:r>
        <w:t>gNB</w:t>
      </w:r>
      <w:proofErr w:type="spellEnd"/>
      <w:r>
        <w:t xml:space="preserve"> could start sending the wake-up signal as a form of reservation signal and repeat till the next available scheduling boundary, as illustrated in </w:t>
      </w:r>
      <w:r>
        <w:fldChar w:fldCharType="begin"/>
      </w:r>
      <w:r>
        <w:instrText xml:space="preserve"> REF _Ref521578047 \h </w:instrText>
      </w:r>
      <w:r>
        <w:fldChar w:fldCharType="separate"/>
      </w:r>
      <w:r>
        <w:t xml:space="preserve">Figure </w:t>
      </w:r>
      <w:r>
        <w:rPr>
          <w:noProof/>
        </w:rPr>
        <w:t>2</w:t>
      </w:r>
      <w:r>
        <w:noBreakHyphen/>
      </w:r>
      <w:r>
        <w:rPr>
          <w:noProof/>
        </w:rPr>
        <w:t>3</w:t>
      </w:r>
      <w:r>
        <w:fldChar w:fldCharType="end"/>
      </w:r>
      <w:r>
        <w:t xml:space="preserve">. </w:t>
      </w:r>
    </w:p>
    <w:p w14:paraId="524B52DE" w14:textId="77777777" w:rsidR="009E13F4" w:rsidRDefault="009E13F4" w:rsidP="009E13F4">
      <w:pPr>
        <w:jc w:val="both"/>
      </w:pPr>
    </w:p>
    <w:p w14:paraId="2EB6E32B" w14:textId="77777777" w:rsidR="009E13F4" w:rsidRDefault="009E13F4" w:rsidP="009E13F4">
      <w:pPr>
        <w:jc w:val="both"/>
      </w:pPr>
      <w:r>
        <w:t xml:space="preserve">Notice that in addition to power saving from UE perspective, </w:t>
      </w:r>
      <w:proofErr w:type="spellStart"/>
      <w:r>
        <w:t>gNB</w:t>
      </w:r>
      <w:proofErr w:type="spellEnd"/>
      <w:r>
        <w:t xml:space="preserve"> could also benefit from decoding the wakeup signal from other cells and skip CCA for the indicated COT duration.</w:t>
      </w:r>
    </w:p>
    <w:p w14:paraId="4D9FB5F6" w14:textId="77777777" w:rsidR="00B94FBF" w:rsidRDefault="00B94FBF" w:rsidP="009E13F4">
      <w:pPr>
        <w:jc w:val="both"/>
      </w:pPr>
    </w:p>
    <w:p w14:paraId="03147B0F" w14:textId="31535D4A" w:rsidR="00B94FBF" w:rsidRPr="00B94FBF" w:rsidRDefault="00B94FBF" w:rsidP="009E13F4">
      <w:pPr>
        <w:jc w:val="both"/>
        <w:rPr>
          <w:b/>
          <w:i/>
        </w:rPr>
      </w:pPr>
      <w:r w:rsidRPr="00B94FBF">
        <w:rPr>
          <w:b/>
          <w:i/>
          <w:u w:val="single"/>
        </w:rPr>
        <w:lastRenderedPageBreak/>
        <w:t>Observation 1</w:t>
      </w:r>
      <w:r w:rsidRPr="00B94FBF">
        <w:rPr>
          <w:b/>
          <w:i/>
        </w:rPr>
        <w:t xml:space="preserve">: A NR-U initial signal </w:t>
      </w:r>
      <w:r w:rsidR="001A4D2A">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55E9CCCC" w14:textId="77777777" w:rsidR="00B94FBF" w:rsidRDefault="00B94FBF" w:rsidP="009E13F4">
      <w:pPr>
        <w:jc w:val="both"/>
      </w:pPr>
    </w:p>
    <w:p w14:paraId="670A53AD" w14:textId="0F0779E5" w:rsidR="00294797" w:rsidRDefault="00294797" w:rsidP="00294797">
      <w:pPr>
        <w:pStyle w:val="Heading3"/>
      </w:pPr>
      <w:r>
        <w:t>Power saving for Wi-Fi devices</w:t>
      </w:r>
    </w:p>
    <w:p w14:paraId="0D6A19E6" w14:textId="77777777" w:rsidR="00294797" w:rsidRDefault="00294797" w:rsidP="00294797">
      <w:pPr>
        <w:jc w:val="both"/>
      </w:pPr>
      <w:r>
        <w:t xml:space="preserve">Wi-Fi devices already widely exist in many unlicensed spectrums, e.g., 2.4GHz, 5GHz. Almost all cellular phones nowadays support Wi-Fi as well, which also directly impact user experience. Each Wi-Fi transmission includes a common legacy preamble of 20us at the beginning, including a universal signature sequence followed by a short information field of packet length decodable by every Wi-Fi devices. </w:t>
      </w:r>
    </w:p>
    <w:p w14:paraId="7FFBFD13" w14:textId="77777777" w:rsidR="00294797" w:rsidRDefault="00294797" w:rsidP="00294797">
      <w:pPr>
        <w:jc w:val="both"/>
      </w:pPr>
    </w:p>
    <w:p w14:paraId="1A03635C" w14:textId="7FC45B9A" w:rsidR="00294797" w:rsidRDefault="00294797" w:rsidP="00294797">
      <w:pPr>
        <w:jc w:val="both"/>
      </w:pPr>
      <w:r>
        <w:t xml:space="preserve">Existing Wi-Fi modems heavily leverage this common preamble structure for UE power saving. When a Wi-Fi device wakes up, it continuously detects the preamble. Once the preamble is detected, and the UE </w:t>
      </w:r>
      <w:r w:rsidR="00904BE0">
        <w:t xml:space="preserve">further identifies that data is for other devices, the UE will go to sleep based on the packet length information from the preamble. However, if the transmission is from other RATs (e.g., LAA) without such preamble, the UE will need to keep detecting preamble without opportunity to go to sleep. Therefore, if NR-U could support an initial signal whose preamble part reuses the legacy Wi-Fi preamble, as shown in </w:t>
      </w:r>
      <w:r w:rsidR="00904BE0">
        <w:fldChar w:fldCharType="begin"/>
      </w:r>
      <w:r w:rsidR="00904BE0">
        <w:instrText xml:space="preserve"> REF _Ref521574855 \h </w:instrText>
      </w:r>
      <w:r w:rsidR="00904BE0">
        <w:fldChar w:fldCharType="separate"/>
      </w:r>
      <w:r w:rsidR="00904BE0">
        <w:t xml:space="preserve">Figure </w:t>
      </w:r>
      <w:r w:rsidR="00904BE0">
        <w:rPr>
          <w:noProof/>
        </w:rPr>
        <w:t>3</w:t>
      </w:r>
      <w:r w:rsidR="00904BE0">
        <w:noBreakHyphen/>
      </w:r>
      <w:r w:rsidR="00904BE0">
        <w:rPr>
          <w:noProof/>
        </w:rPr>
        <w:t>1</w:t>
      </w:r>
      <w:r w:rsidR="00904BE0">
        <w:fldChar w:fldCharType="end"/>
      </w:r>
      <w:r w:rsidR="00904BE0">
        <w:t xml:space="preserve">, it could still allow the same power saving mechanism as in a Wi-Fi only network. </w:t>
      </w:r>
    </w:p>
    <w:p w14:paraId="323C8D79" w14:textId="77777777" w:rsidR="00B94FBF" w:rsidRDefault="00B94FBF" w:rsidP="00294797">
      <w:pPr>
        <w:jc w:val="both"/>
      </w:pPr>
    </w:p>
    <w:p w14:paraId="580C2E20" w14:textId="0645C18B" w:rsidR="00B94FBF" w:rsidRPr="00B94FBF" w:rsidRDefault="00B94FBF" w:rsidP="00294797">
      <w:pPr>
        <w:jc w:val="both"/>
        <w:rPr>
          <w:b/>
          <w:i/>
        </w:rPr>
      </w:pPr>
      <w:r w:rsidRPr="00B94FBF">
        <w:rPr>
          <w:b/>
          <w:i/>
          <w:u w:val="single"/>
        </w:rPr>
        <w:t>Observation 2</w:t>
      </w:r>
      <w:r w:rsidRPr="00B94FBF">
        <w:rPr>
          <w:b/>
          <w:i/>
        </w:rPr>
        <w:t>: Including legacy Wi-Fi preamble into the NR-U initial signal is beneficial for Wi-Fi device power saving.</w:t>
      </w:r>
    </w:p>
    <w:p w14:paraId="3935BE44" w14:textId="2656BA1D" w:rsidR="009E13F4" w:rsidRDefault="009E13F4" w:rsidP="009E13F4">
      <w:pPr>
        <w:jc w:val="both"/>
      </w:pPr>
    </w:p>
    <w:p w14:paraId="2C66978A" w14:textId="16C23DD0" w:rsidR="00933A67" w:rsidRPr="00132814" w:rsidRDefault="00933A67" w:rsidP="009E13F4">
      <w:pPr>
        <w:jc w:val="both"/>
        <w:rPr>
          <w:b/>
          <w:i/>
        </w:rPr>
      </w:pPr>
      <w:r w:rsidRPr="001A4D2A">
        <w:rPr>
          <w:b/>
          <w:i/>
          <w:u w:val="single"/>
        </w:rPr>
        <w:t>Proposal 1</w:t>
      </w:r>
      <w:r w:rsidRPr="001A4D2A">
        <w:rPr>
          <w:b/>
          <w:i/>
        </w:rPr>
        <w:t xml:space="preserve">: NR-U to support </w:t>
      </w:r>
      <w:r w:rsidR="00294797" w:rsidRPr="001A4D2A">
        <w:rPr>
          <w:b/>
          <w:i/>
        </w:rPr>
        <w:t>initial</w:t>
      </w:r>
      <w:r w:rsidRPr="001A4D2A">
        <w:rPr>
          <w:b/>
          <w:i/>
        </w:rPr>
        <w:t xml:space="preserve"> signal including</w:t>
      </w:r>
      <w:r w:rsidR="006B639D">
        <w:rPr>
          <w:b/>
          <w:i/>
        </w:rPr>
        <w:t xml:space="preserve"> low complexity</w:t>
      </w:r>
      <w:r w:rsidRPr="001A4D2A">
        <w:rPr>
          <w:rFonts w:hint="eastAsia"/>
          <w:b/>
          <w:i/>
        </w:rPr>
        <w:t xml:space="preserve"> </w:t>
      </w:r>
      <w:r w:rsidRPr="001A4D2A">
        <w:rPr>
          <w:b/>
          <w:i/>
        </w:rPr>
        <w:t xml:space="preserve">detection pre-amble, </w:t>
      </w:r>
      <w:r w:rsidR="005866D3">
        <w:rPr>
          <w:b/>
          <w:i/>
        </w:rPr>
        <w:t xml:space="preserve">and indicating </w:t>
      </w:r>
      <w:r w:rsidRPr="001A4D2A">
        <w:rPr>
          <w:b/>
          <w:i/>
        </w:rPr>
        <w:t>COT, cell ID</w:t>
      </w:r>
      <w:r w:rsidR="005866D3">
        <w:rPr>
          <w:b/>
          <w:i/>
        </w:rPr>
        <w:t xml:space="preserve"> information</w:t>
      </w:r>
      <w:r w:rsidRPr="001A4D2A">
        <w:rPr>
          <w:b/>
          <w:i/>
        </w:rPr>
        <w:t>.</w:t>
      </w:r>
    </w:p>
    <w:p w14:paraId="74602E81" w14:textId="73F29222" w:rsidR="00933A67" w:rsidRDefault="00933A67" w:rsidP="00933A67">
      <w:pPr>
        <w:pStyle w:val="Heading2"/>
      </w:pPr>
      <w:r>
        <w:t>Better coexistence</w:t>
      </w:r>
    </w:p>
    <w:p w14:paraId="0561980B" w14:textId="52779523" w:rsidR="00933A67" w:rsidRDefault="00933A67" w:rsidP="00132814">
      <w:pPr>
        <w:jc w:val="both"/>
      </w:pPr>
      <w:r>
        <w:t>A preamble based</w:t>
      </w:r>
      <w:r w:rsidR="00132814">
        <w:t xml:space="preserve"> initial signal not only provide benefits in UE power saving, but also allows for better coexistence in unlicensed spectrum. This includes both coexistence with other NR-U networks and coexistence with other RATs (e.g. Wi-Fi).</w:t>
      </w:r>
    </w:p>
    <w:p w14:paraId="7E50357A" w14:textId="77777777" w:rsidR="0089551C" w:rsidRDefault="0089551C" w:rsidP="00132814">
      <w:pPr>
        <w:jc w:val="both"/>
      </w:pPr>
    </w:p>
    <w:p w14:paraId="66208CF8" w14:textId="67BA7B76" w:rsidR="0089551C" w:rsidRDefault="0089551C" w:rsidP="00132814">
      <w:pPr>
        <w:jc w:val="both"/>
      </w:pPr>
      <w:r>
        <w:t xml:space="preserve">Existing Wi-Fi </w:t>
      </w:r>
      <w:r w:rsidR="00640228">
        <w:t>CCA is based on</w:t>
      </w:r>
      <w:r>
        <w:t xml:space="preserve"> </w:t>
      </w:r>
      <w:r w:rsidR="00640228">
        <w:t xml:space="preserve">both </w:t>
      </w:r>
      <w:r>
        <w:t xml:space="preserve">coherent preamble </w:t>
      </w:r>
      <w:r w:rsidR="00640228">
        <w:t>detection (PD) and</w:t>
      </w:r>
      <w:r>
        <w:t xml:space="preserve"> non</w:t>
      </w:r>
      <w:r w:rsidR="00640228">
        <w:t>-coherent energy detection (ED), where the former uses threshold at -82dBm and the latter uses threshold at -62dBm.</w:t>
      </w:r>
      <w:r w:rsidR="00C5396F">
        <w:t xml:space="preserve"> The preamble detection aims at detecting transmission from other Wi-Fi devices, while the energy detection help</w:t>
      </w:r>
      <w:r w:rsidR="00904BE0">
        <w:t>s</w:t>
      </w:r>
      <w:r w:rsidR="00C5396F">
        <w:t xml:space="preserve"> to detect transmission from other RATs.</w:t>
      </w:r>
    </w:p>
    <w:p w14:paraId="37C247AF" w14:textId="77777777" w:rsidR="00C5396F" w:rsidRDefault="00C5396F" w:rsidP="00132814">
      <w:pPr>
        <w:jc w:val="both"/>
      </w:pPr>
    </w:p>
    <w:p w14:paraId="7579CA24" w14:textId="38A9DE1B" w:rsidR="00C5396F" w:rsidRDefault="00904BE0" w:rsidP="00132814">
      <w:pPr>
        <w:jc w:val="both"/>
      </w:pPr>
      <w:r>
        <w:t>The</w:t>
      </w:r>
      <w:r w:rsidR="00C5396F">
        <w:t xml:space="preserve"> LAA design sole</w:t>
      </w:r>
      <w:r>
        <w:t>ly</w:t>
      </w:r>
      <w:r w:rsidR="00C5396F">
        <w:t xml:space="preserve"> relies on energy detection (at -72dBm), which does not distinguish transmission from other LAA devices or Wi-Fi devices.</w:t>
      </w:r>
    </w:p>
    <w:p w14:paraId="50A14A56" w14:textId="77777777" w:rsidR="00132814" w:rsidRDefault="00132814" w:rsidP="00132814">
      <w:pPr>
        <w:jc w:val="both"/>
      </w:pPr>
    </w:p>
    <w:p w14:paraId="56ADB14A" w14:textId="3D1E9D68" w:rsidR="00132814" w:rsidRDefault="00132814" w:rsidP="00132814">
      <w:pPr>
        <w:pStyle w:val="Heading3"/>
      </w:pPr>
      <w:r>
        <w:t>Sharing in spectrum with incumbent</w:t>
      </w:r>
      <w:r w:rsidR="00B94FBF">
        <w:t xml:space="preserve"> Wi-Fi</w:t>
      </w:r>
    </w:p>
    <w:p w14:paraId="01805E2B" w14:textId="69566880" w:rsidR="0061287A" w:rsidRDefault="0009631C" w:rsidP="00DA072E">
      <w:pPr>
        <w:jc w:val="both"/>
      </w:pPr>
      <w:r>
        <w:t>For spectrum</w:t>
      </w:r>
      <w:r w:rsidR="00DA072E">
        <w:t xml:space="preserve"> already with wide Wi-Fi</w:t>
      </w:r>
      <w:r w:rsidR="00F849E1">
        <w:t xml:space="preserve"> deployment</w:t>
      </w:r>
      <w:r w:rsidR="00DA072E">
        <w:t xml:space="preserve">, </w:t>
      </w:r>
      <w:r w:rsidR="00D91937">
        <w:t>transmitting and/or detecting</w:t>
      </w:r>
      <w:r w:rsidR="00DA072E">
        <w:t xml:space="preserve"> a common preamble as the Wi-Fi transmission (i.e. legacy 801.11a preamble) </w:t>
      </w:r>
      <w:r w:rsidR="00F849E1">
        <w:t>in NR-U allows for better coexistence between NR-U and Wi-Fi devices than the without a common preamble, due to the following reasons</w:t>
      </w:r>
      <w:r w:rsidR="00D91937">
        <w:t>, respectively</w:t>
      </w:r>
      <w:r w:rsidR="00F849E1">
        <w:t>:</w:t>
      </w:r>
    </w:p>
    <w:p w14:paraId="6088FE08" w14:textId="6517C884" w:rsidR="00F849E1" w:rsidRDefault="00F849E1" w:rsidP="00F849E1">
      <w:pPr>
        <w:pStyle w:val="ListParagraph"/>
        <w:numPr>
          <w:ilvl w:val="0"/>
          <w:numId w:val="37"/>
        </w:numPr>
        <w:jc w:val="both"/>
      </w:pPr>
      <w:r>
        <w:t xml:space="preserve">With coherent PD, a potential Wi-Fi transmitter can detect and yield to another Wi-Fi transmission at lower power level (i.e. -82dBm) than detecting another NR-U transmission without preamble (i.e. at -62dBm with ED). Therefore, </w:t>
      </w:r>
      <w:r w:rsidR="00DE4553">
        <w:t>a potential Wi-Fi interference is more likely to interfere an NR-U transmission</w:t>
      </w:r>
      <w:r w:rsidR="0095400D">
        <w:t xml:space="preserve"> without preamble</w:t>
      </w:r>
      <w:r w:rsidR="00DE4553">
        <w:t xml:space="preserve"> than to interfere a Wi-Fi transmission.</w:t>
      </w:r>
    </w:p>
    <w:p w14:paraId="73EFCA18" w14:textId="30B80652" w:rsidR="00F849E1" w:rsidRDefault="00F849E1" w:rsidP="00F849E1">
      <w:pPr>
        <w:pStyle w:val="ListParagraph"/>
        <w:numPr>
          <w:ilvl w:val="0"/>
          <w:numId w:val="37"/>
        </w:numPr>
        <w:jc w:val="both"/>
      </w:pPr>
      <w:r>
        <w:lastRenderedPageBreak/>
        <w:t>Similarly, an on-going Wi-Fi transmission can be detected by another potential Wi-Fi trans</w:t>
      </w:r>
      <w:r w:rsidR="00DE4553">
        <w:t>mitter at lower power level due to coherent PD than by another potential NR-U transmitter</w:t>
      </w:r>
      <w:r>
        <w:t xml:space="preserve"> </w:t>
      </w:r>
      <w:r w:rsidR="00DE4553">
        <w:t>that only do ED. Therefore, a Wi-Fi transmission is more likely to be interfered by a potential NR-U transmitter (that only do ED)</w:t>
      </w:r>
      <w:r w:rsidR="0095400D">
        <w:t xml:space="preserve"> than by a potential Wi-Fi transmitter.</w:t>
      </w:r>
    </w:p>
    <w:p w14:paraId="77591CEF" w14:textId="77777777" w:rsidR="0095400D" w:rsidRDefault="0095400D" w:rsidP="0095400D">
      <w:pPr>
        <w:jc w:val="both"/>
      </w:pPr>
    </w:p>
    <w:p w14:paraId="26061372" w14:textId="422FE503" w:rsidR="0095400D" w:rsidRDefault="0095400D" w:rsidP="0095400D">
      <w:pPr>
        <w:jc w:val="both"/>
      </w:pPr>
      <w:r>
        <w:t xml:space="preserve">Therefore, at least for spectrum/region where legacy Wi-Fi can’t </w:t>
      </w:r>
      <w:r w:rsidR="006372FB">
        <w:t xml:space="preserve">be </w:t>
      </w:r>
      <w:r>
        <w:t>ruled out, it is desirable to support a legacy Wi-Fi preamble in NR-U transmission, in order to achieve fair coexistence between the two RATs.</w:t>
      </w:r>
    </w:p>
    <w:p w14:paraId="30E434B7" w14:textId="77777777" w:rsidR="00B94FBF" w:rsidRDefault="00B94FBF" w:rsidP="0095400D">
      <w:pPr>
        <w:jc w:val="both"/>
      </w:pPr>
    </w:p>
    <w:p w14:paraId="1E6CF372" w14:textId="281BA08E" w:rsidR="00B94FBF" w:rsidRDefault="00B94FBF" w:rsidP="00B94FBF">
      <w:pPr>
        <w:jc w:val="both"/>
        <w:rPr>
          <w:b/>
          <w:i/>
        </w:rPr>
      </w:pPr>
      <w:r w:rsidRPr="00B94FBF">
        <w:rPr>
          <w:b/>
          <w:i/>
          <w:u w:val="single"/>
        </w:rPr>
        <w:t xml:space="preserve">Observation </w:t>
      </w:r>
      <w:r>
        <w:rPr>
          <w:b/>
          <w:i/>
          <w:u w:val="single"/>
        </w:rPr>
        <w:t>3</w:t>
      </w:r>
      <w:r w:rsidRPr="00B94FBF">
        <w:rPr>
          <w:b/>
          <w:i/>
        </w:rPr>
        <w:t>: Including legacy Wi-Fi preamble into the NR-U initial signal</w:t>
      </w:r>
      <w:r w:rsidR="00D91937">
        <w:rPr>
          <w:b/>
          <w:i/>
        </w:rPr>
        <w:t xml:space="preserve">, and detecting legacy Wi-Fi preamble by </w:t>
      </w:r>
      <w:proofErr w:type="spellStart"/>
      <w:r w:rsidR="00D91937">
        <w:rPr>
          <w:b/>
          <w:i/>
        </w:rPr>
        <w:t>gNB</w:t>
      </w:r>
      <w:proofErr w:type="spellEnd"/>
      <w:r w:rsidRPr="00B94FBF">
        <w:rPr>
          <w:b/>
          <w:i/>
        </w:rPr>
        <w:t xml:space="preserve"> </w:t>
      </w:r>
      <w:r w:rsidR="00D91937">
        <w:rPr>
          <w:b/>
          <w:i/>
        </w:rPr>
        <w:t>are</w:t>
      </w:r>
      <w:r w:rsidRPr="00B94FBF">
        <w:rPr>
          <w:b/>
          <w:i/>
        </w:rPr>
        <w:t xml:space="preserve"> beneficial for </w:t>
      </w:r>
      <w:r w:rsidR="001A4D2A">
        <w:rPr>
          <w:b/>
          <w:i/>
        </w:rPr>
        <w:t>fair coexistence between NR-U and Wi-Fi.</w:t>
      </w:r>
    </w:p>
    <w:p w14:paraId="633AA647" w14:textId="77777777" w:rsidR="001A4D2A" w:rsidRPr="00B94FBF" w:rsidRDefault="001A4D2A" w:rsidP="00B94FBF">
      <w:pPr>
        <w:jc w:val="both"/>
        <w:rPr>
          <w:b/>
          <w:i/>
        </w:rPr>
      </w:pPr>
    </w:p>
    <w:p w14:paraId="50C35000" w14:textId="46EB3B6E" w:rsidR="001A4D2A" w:rsidRDefault="001A4D2A" w:rsidP="001A4D2A">
      <w:pPr>
        <w:jc w:val="both"/>
        <w:rPr>
          <w:b/>
          <w:i/>
        </w:rPr>
      </w:pPr>
      <w:r w:rsidRPr="001A4D2A">
        <w:rPr>
          <w:b/>
          <w:i/>
          <w:u w:val="single"/>
        </w:rPr>
        <w:t>Proposal 2</w:t>
      </w:r>
      <w:r w:rsidRPr="001A4D2A">
        <w:rPr>
          <w:b/>
          <w:i/>
        </w:rPr>
        <w:t>: For spectrum with existing Wi-Fi deployment, NR-U to include legacy Wi-Fi preamble in the initial signal.</w:t>
      </w:r>
    </w:p>
    <w:p w14:paraId="4953CE9E" w14:textId="2F2A4D34" w:rsidR="00D91937" w:rsidRDefault="00D91937" w:rsidP="001A4D2A">
      <w:pPr>
        <w:jc w:val="both"/>
        <w:rPr>
          <w:b/>
          <w:i/>
        </w:rPr>
      </w:pPr>
    </w:p>
    <w:p w14:paraId="04E09A83" w14:textId="5119F337" w:rsidR="00D91937" w:rsidRPr="00132814" w:rsidRDefault="00D91937" w:rsidP="001A4D2A">
      <w:pPr>
        <w:jc w:val="both"/>
        <w:rPr>
          <w:b/>
          <w:i/>
        </w:rPr>
      </w:pPr>
      <w:r w:rsidRPr="00D91937">
        <w:rPr>
          <w:b/>
          <w:i/>
          <w:u w:val="single"/>
        </w:rPr>
        <w:t>Proposal 3</w:t>
      </w:r>
      <w:r>
        <w:rPr>
          <w:b/>
          <w:i/>
        </w:rPr>
        <w:t xml:space="preserve">: For NR-U </w:t>
      </w:r>
      <w:proofErr w:type="spellStart"/>
      <w:r>
        <w:rPr>
          <w:b/>
          <w:i/>
        </w:rPr>
        <w:t>gNBs</w:t>
      </w:r>
      <w:proofErr w:type="spellEnd"/>
      <w:r>
        <w:rPr>
          <w:b/>
          <w:i/>
        </w:rPr>
        <w:t xml:space="preserve"> that choose to implement legacy Wi-Fi preamble detection in CCA, specifications should allow those </w:t>
      </w:r>
      <w:proofErr w:type="spellStart"/>
      <w:r>
        <w:rPr>
          <w:b/>
          <w:i/>
        </w:rPr>
        <w:t>gNBs</w:t>
      </w:r>
      <w:proofErr w:type="spellEnd"/>
      <w:r>
        <w:rPr>
          <w:b/>
          <w:i/>
        </w:rPr>
        <w:t xml:space="preserve"> to adopt the PD threshold of -82dBm and ED threshold of -62dBm</w:t>
      </w:r>
    </w:p>
    <w:p w14:paraId="6C434168" w14:textId="77777777" w:rsidR="00132814" w:rsidRDefault="00132814" w:rsidP="00933A67"/>
    <w:p w14:paraId="6B311E0A" w14:textId="02009F0B" w:rsidR="00132814" w:rsidRDefault="00132814" w:rsidP="00132814">
      <w:pPr>
        <w:pStyle w:val="Heading3"/>
      </w:pPr>
      <w:r>
        <w:t>Sharing in new “green field” spectrum</w:t>
      </w:r>
    </w:p>
    <w:p w14:paraId="754DEB5E" w14:textId="0425D9CB" w:rsidR="00903ADD" w:rsidRPr="00903ADD" w:rsidRDefault="0095400D" w:rsidP="0095400D">
      <w:pPr>
        <w:jc w:val="both"/>
      </w:pPr>
      <w:r>
        <w:t>For a new spectrum without heavy Wi-Fi penetration, the issue of fair coexistence with incumbent technology no longer exists. In this case, better spectrum sharing framework can further be discussed, and a joint design with other technology (e.g. Wi-Fi) is preferable.</w:t>
      </w:r>
    </w:p>
    <w:p w14:paraId="3DC69076" w14:textId="77777777" w:rsidR="00933A67" w:rsidRPr="00933A67" w:rsidRDefault="00933A67" w:rsidP="00933A67"/>
    <w:p w14:paraId="5DD101C8" w14:textId="3725E307" w:rsidR="009E13F4" w:rsidRPr="001027AA" w:rsidRDefault="009E13F4" w:rsidP="009E13F4">
      <w:pPr>
        <w:jc w:val="both"/>
        <w:rPr>
          <w:b/>
          <w:i/>
        </w:rPr>
      </w:pPr>
      <w:bookmarkStart w:id="3" w:name="_Ref510795623"/>
      <w:r w:rsidRPr="001027AA">
        <w:rPr>
          <w:b/>
          <w:i/>
          <w:u w:val="single"/>
        </w:rPr>
        <w:t xml:space="preserve">Proposal </w:t>
      </w:r>
      <w:r w:rsidR="00D91937">
        <w:rPr>
          <w:b/>
          <w:i/>
          <w:u w:val="single"/>
        </w:rPr>
        <w:t>4</w:t>
      </w:r>
      <w:r w:rsidRPr="001027AA">
        <w:rPr>
          <w:b/>
          <w:i/>
        </w:rPr>
        <w:t xml:space="preserve">: </w:t>
      </w:r>
      <w:r w:rsidR="0095400D">
        <w:rPr>
          <w:b/>
          <w:i/>
        </w:rPr>
        <w:t xml:space="preserve">For new spectrum without </w:t>
      </w:r>
      <w:r w:rsidR="00B94FBF">
        <w:rPr>
          <w:b/>
          <w:i/>
        </w:rPr>
        <w:t>incumbent Wi-Fi penetration, a new spectrum sharing and coexistence frame should be studied, and a joint design with Wi-Fi is preferable.</w:t>
      </w:r>
    </w:p>
    <w:bookmarkEnd w:id="3"/>
    <w:p w14:paraId="3FA33CCC" w14:textId="0FAD345F" w:rsidR="00933A67" w:rsidRDefault="00933A67" w:rsidP="00D54484"/>
    <w:p w14:paraId="02BEE214" w14:textId="54742FCD" w:rsidR="00FD2CEC" w:rsidRDefault="00FD2CEC" w:rsidP="00FD2CEC">
      <w:pPr>
        <w:pStyle w:val="Heading1"/>
      </w:pPr>
      <w:r>
        <w:t>PDCCH Monitoring</w:t>
      </w:r>
    </w:p>
    <w:p w14:paraId="28EE68A0" w14:textId="625F1C01" w:rsidR="00FD2CEC" w:rsidRDefault="00FD2CEC" w:rsidP="00FD2CEC">
      <w:pPr>
        <w:jc w:val="both"/>
      </w:pPr>
      <w:r>
        <w:t xml:space="preserve">One important design aspect that has direct impact on the UE power consumption is the periodicity that UE needs to monitor downlink control channel (i.e., PDCCH). It was proposed that UE should adapt the PDCCH monitoring periodicities based on </w:t>
      </w:r>
      <w:proofErr w:type="spellStart"/>
      <w:r>
        <w:t>CoT</w:t>
      </w:r>
      <w:proofErr w:type="spellEnd"/>
      <w:r>
        <w:t xml:space="preserve"> structure</w:t>
      </w:r>
      <w:r w:rsidR="00233774">
        <w:fldChar w:fldCharType="begin"/>
      </w:r>
      <w:r w:rsidR="00233774">
        <w:instrText xml:space="preserve"> REF _Ref528877156 \r \h </w:instrText>
      </w:r>
      <w:r w:rsidR="00233774">
        <w:fldChar w:fldCharType="separate"/>
      </w:r>
      <w:r w:rsidR="00233774">
        <w:t>[13]</w:t>
      </w:r>
      <w:r w:rsidR="00233774">
        <w:fldChar w:fldCharType="end"/>
      </w:r>
      <w:r w:rsidR="00233774">
        <w:fldChar w:fldCharType="begin"/>
      </w:r>
      <w:r w:rsidR="00233774">
        <w:instrText xml:space="preserve"> REF _Ref528921388 \r \h </w:instrText>
      </w:r>
      <w:r w:rsidR="00233774">
        <w:fldChar w:fldCharType="separate"/>
      </w:r>
      <w:r w:rsidR="00233774">
        <w:t>[14]</w:t>
      </w:r>
      <w:r w:rsidR="00233774">
        <w:fldChar w:fldCharType="end"/>
      </w:r>
      <w:r>
        <w:t xml:space="preserve">. Specifically, it was suggested that UE should monitor PDCCH more often (e.g., at symbol or mini-slot) outside of the serving </w:t>
      </w:r>
      <w:proofErr w:type="spellStart"/>
      <w:r>
        <w:t>gNB’s</w:t>
      </w:r>
      <w:proofErr w:type="spellEnd"/>
      <w:r>
        <w:t xml:space="preserve"> </w:t>
      </w:r>
      <w:proofErr w:type="spellStart"/>
      <w:r>
        <w:t>CoT</w:t>
      </w:r>
      <w:proofErr w:type="spellEnd"/>
      <w:r>
        <w:t xml:space="preserve"> than inside the </w:t>
      </w:r>
      <w:proofErr w:type="spellStart"/>
      <w:r>
        <w:t>gNB’s</w:t>
      </w:r>
      <w:proofErr w:type="spellEnd"/>
      <w:r>
        <w:t xml:space="preserve"> </w:t>
      </w:r>
      <w:proofErr w:type="spellStart"/>
      <w:r>
        <w:t>CoT</w:t>
      </w:r>
      <w:proofErr w:type="spellEnd"/>
      <w:r>
        <w:t>.</w:t>
      </w:r>
    </w:p>
    <w:p w14:paraId="5D308F60" w14:textId="77777777" w:rsidR="00FD2CEC" w:rsidRDefault="00FD2CEC" w:rsidP="00FD2CEC">
      <w:pPr>
        <w:jc w:val="both"/>
      </w:pPr>
    </w:p>
    <w:p w14:paraId="2AF93A21" w14:textId="77777777" w:rsidR="00FD2CEC" w:rsidRDefault="00FD2CEC" w:rsidP="00FD2CEC">
      <w:pPr>
        <w:jc w:val="both"/>
      </w:pPr>
      <w:r>
        <w:t>As PDCCH monitoring is generally power consuming, and monitoring PDCCH at symbol or mini-slot level prevents the UE to even enter micro-sleep. We believe that in practical scenarios, this is infeasible and unnecessary for most mobile devices, except for limited applications requiring ultra-low latency. On the other hand, unlicensed spectrum may not always be a desirable solution for the applications requiring ultra-low latency.</w:t>
      </w:r>
    </w:p>
    <w:p w14:paraId="3637DF2D" w14:textId="77777777" w:rsidR="00FD2CEC" w:rsidRDefault="00FD2CEC" w:rsidP="00FD2CEC">
      <w:pPr>
        <w:jc w:val="both"/>
      </w:pPr>
    </w:p>
    <w:p w14:paraId="18799D5D" w14:textId="77777777" w:rsidR="00FD2CEC" w:rsidRDefault="00FD2CEC" w:rsidP="00FD2CEC">
      <w:pPr>
        <w:jc w:val="both"/>
      </w:pPr>
      <w:r>
        <w:t xml:space="preserve">A UE may potentially be able to monitor PDCCH at sub slot level if a low complexity wake-up mechanism (or initial signal) is adopted, which allows the UE to skip most of the PDCCH decoding when there is no grant/scheduling for the UE. </w:t>
      </w:r>
    </w:p>
    <w:p w14:paraId="0C96AE5D" w14:textId="77777777" w:rsidR="00FD2CEC" w:rsidRDefault="00FD2CEC" w:rsidP="00FD2CEC">
      <w:pPr>
        <w:jc w:val="both"/>
      </w:pPr>
    </w:p>
    <w:p w14:paraId="0BABD465" w14:textId="77777777" w:rsidR="00FD2CEC" w:rsidRDefault="00FD2CEC" w:rsidP="00FD2CEC"/>
    <w:p w14:paraId="59FFD96B" w14:textId="5278D2A1" w:rsidR="00FD2CEC" w:rsidRPr="00C963BC" w:rsidRDefault="00FD2CEC" w:rsidP="00FD2CEC">
      <w:pPr>
        <w:rPr>
          <w:b/>
          <w:i/>
        </w:rPr>
      </w:pPr>
      <w:r w:rsidRPr="00C963BC">
        <w:rPr>
          <w:b/>
          <w:i/>
          <w:u w:val="single"/>
        </w:rPr>
        <w:t xml:space="preserve">Proposal </w:t>
      </w:r>
      <w:r w:rsidR="00D91937">
        <w:rPr>
          <w:b/>
          <w:i/>
          <w:u w:val="single"/>
        </w:rPr>
        <w:t>5</w:t>
      </w:r>
      <w:r w:rsidRPr="00C963BC">
        <w:rPr>
          <w:b/>
          <w:i/>
        </w:rPr>
        <w:t xml:space="preserve">: </w:t>
      </w:r>
      <w:r>
        <w:rPr>
          <w:b/>
          <w:i/>
        </w:rPr>
        <w:t>NR-U devices should not be configured to monitor PDCCH at symbol or min</w:t>
      </w:r>
      <w:r w:rsidR="00D91937">
        <w:rPr>
          <w:b/>
          <w:i/>
        </w:rPr>
        <w:t>i</w:t>
      </w:r>
      <w:r>
        <w:rPr>
          <w:b/>
          <w:i/>
        </w:rPr>
        <w:t xml:space="preserve">-slot level outside of </w:t>
      </w:r>
      <w:proofErr w:type="spellStart"/>
      <w:r>
        <w:rPr>
          <w:b/>
          <w:i/>
        </w:rPr>
        <w:t>CoT</w:t>
      </w:r>
      <w:proofErr w:type="spellEnd"/>
      <w:r>
        <w:rPr>
          <w:b/>
          <w:i/>
        </w:rPr>
        <w:t>, unless low power wake up mechanism (or initial signal) is adopted.</w:t>
      </w:r>
    </w:p>
    <w:p w14:paraId="085AB979" w14:textId="77777777" w:rsidR="00FD2CEC" w:rsidRPr="00FD2CEC" w:rsidRDefault="00FD2CEC" w:rsidP="00FD2CEC"/>
    <w:p w14:paraId="2896E657" w14:textId="38489508" w:rsidR="00854A60" w:rsidRDefault="00CB1432" w:rsidP="00FB330B">
      <w:pPr>
        <w:pStyle w:val="Heading1"/>
      </w:pPr>
      <w:r>
        <w:lastRenderedPageBreak/>
        <w:t>Concl</w:t>
      </w:r>
      <w:r w:rsidR="009C5A97" w:rsidRPr="00FB330B">
        <w:t>usion</w:t>
      </w:r>
      <w:r w:rsidR="004424BC" w:rsidRPr="00FB330B">
        <w:t>s</w:t>
      </w:r>
    </w:p>
    <w:p w14:paraId="5DD07323" w14:textId="277304EF" w:rsidR="00FE3D51" w:rsidRDefault="00FE3D51" w:rsidP="001A4D2A">
      <w:pPr>
        <w:jc w:val="both"/>
      </w:pPr>
      <w:r>
        <w:t xml:space="preserve">In this contribution, we discuss </w:t>
      </w:r>
      <w:r w:rsidR="001A4D2A">
        <w:t xml:space="preserve">the benefits of introducing initial signal containing preamble, cell ID and </w:t>
      </w:r>
      <w:proofErr w:type="spellStart"/>
      <w:r w:rsidR="001A4D2A">
        <w:t>CoT</w:t>
      </w:r>
      <w:proofErr w:type="spellEnd"/>
      <w:r w:rsidR="001A4D2A">
        <w:t xml:space="preserve"> in NR-U. We also discuss the benefits or reusing the legacy Wi-Fi preamble in the initial signal, at least for spectrum with existing Wi-Fi deployment. </w:t>
      </w:r>
      <w:r>
        <w:t>We have the following observation and proposals:</w:t>
      </w:r>
    </w:p>
    <w:p w14:paraId="27FCB260" w14:textId="77777777" w:rsidR="001A4D2A" w:rsidRDefault="001A4D2A" w:rsidP="001A4D2A">
      <w:pPr>
        <w:jc w:val="both"/>
      </w:pPr>
    </w:p>
    <w:p w14:paraId="3E099738" w14:textId="77777777" w:rsidR="001A4D2A" w:rsidRPr="00B94FBF" w:rsidRDefault="001A4D2A" w:rsidP="001A4D2A">
      <w:pPr>
        <w:jc w:val="both"/>
        <w:rPr>
          <w:b/>
          <w:i/>
        </w:rPr>
      </w:pPr>
      <w:r w:rsidRPr="00B94FBF">
        <w:rPr>
          <w:b/>
          <w:i/>
          <w:u w:val="single"/>
        </w:rPr>
        <w:t>Observation 1</w:t>
      </w:r>
      <w:r w:rsidRPr="00B94FBF">
        <w:rPr>
          <w:b/>
          <w:i/>
        </w:rPr>
        <w:t xml:space="preserve">: A NR-U initial signal </w:t>
      </w:r>
      <w:r>
        <w:rPr>
          <w:b/>
          <w:i/>
        </w:rPr>
        <w:t>including</w:t>
      </w:r>
      <w:r w:rsidRPr="00B94FBF">
        <w:rPr>
          <w:b/>
          <w:i/>
        </w:rPr>
        <w:t xml:space="preserve"> low detection complexity preamble, cell ID and </w:t>
      </w:r>
      <w:proofErr w:type="spellStart"/>
      <w:r w:rsidRPr="00B94FBF">
        <w:rPr>
          <w:b/>
          <w:i/>
        </w:rPr>
        <w:t>CoT</w:t>
      </w:r>
      <w:proofErr w:type="spellEnd"/>
      <w:r w:rsidRPr="00B94FBF">
        <w:rPr>
          <w:b/>
          <w:i/>
        </w:rPr>
        <w:t xml:space="preserve"> information is beneficial for NR-U UE power saving.</w:t>
      </w:r>
    </w:p>
    <w:p w14:paraId="2453CDC4" w14:textId="77777777" w:rsidR="001A4D2A" w:rsidRDefault="001A4D2A" w:rsidP="001A4D2A">
      <w:pPr>
        <w:jc w:val="both"/>
      </w:pPr>
    </w:p>
    <w:p w14:paraId="45CF2539" w14:textId="77777777" w:rsidR="001A4D2A" w:rsidRPr="00B94FBF" w:rsidRDefault="001A4D2A" w:rsidP="001A4D2A">
      <w:pPr>
        <w:jc w:val="both"/>
        <w:rPr>
          <w:b/>
          <w:i/>
        </w:rPr>
      </w:pPr>
      <w:r w:rsidRPr="00B94FBF">
        <w:rPr>
          <w:b/>
          <w:i/>
          <w:u w:val="single"/>
        </w:rPr>
        <w:t>Observation 2</w:t>
      </w:r>
      <w:r w:rsidRPr="00B94FBF">
        <w:rPr>
          <w:b/>
          <w:i/>
        </w:rPr>
        <w:t>: Including legacy Wi-Fi preamble into the NR-U initial signal is beneficial for Wi-Fi device power saving.</w:t>
      </w:r>
    </w:p>
    <w:p w14:paraId="7314EBED" w14:textId="77777777" w:rsidR="00FE3D51" w:rsidRDefault="00FE3D51" w:rsidP="00FE3D51">
      <w:pPr>
        <w:rPr>
          <w:b/>
          <w:i/>
          <w:color w:val="000000" w:themeColor="text1"/>
        </w:rPr>
      </w:pPr>
    </w:p>
    <w:p w14:paraId="593B6FE1" w14:textId="77777777" w:rsidR="000D47C5" w:rsidRDefault="000D47C5" w:rsidP="000D47C5">
      <w:pPr>
        <w:jc w:val="both"/>
        <w:rPr>
          <w:b/>
          <w:i/>
        </w:rPr>
      </w:pPr>
      <w:r w:rsidRPr="00B94FBF">
        <w:rPr>
          <w:b/>
          <w:i/>
          <w:u w:val="single"/>
        </w:rPr>
        <w:t xml:space="preserve">Observation </w:t>
      </w:r>
      <w:r>
        <w:rPr>
          <w:b/>
          <w:i/>
          <w:u w:val="single"/>
        </w:rPr>
        <w:t>3</w:t>
      </w:r>
      <w:r w:rsidRPr="00B94FBF">
        <w:rPr>
          <w:b/>
          <w:i/>
        </w:rPr>
        <w:t>: Including legacy Wi-Fi preamble into the NR-U initial signal</w:t>
      </w:r>
      <w:r>
        <w:rPr>
          <w:b/>
          <w:i/>
        </w:rPr>
        <w:t xml:space="preserve">, and detecting legacy Wi-Fi preamble by </w:t>
      </w:r>
      <w:proofErr w:type="spellStart"/>
      <w:r>
        <w:rPr>
          <w:b/>
          <w:i/>
        </w:rPr>
        <w:t>gNB</w:t>
      </w:r>
      <w:proofErr w:type="spellEnd"/>
      <w:r w:rsidRPr="00B94FBF">
        <w:rPr>
          <w:b/>
          <w:i/>
        </w:rPr>
        <w:t xml:space="preserve"> </w:t>
      </w:r>
      <w:r>
        <w:rPr>
          <w:b/>
          <w:i/>
        </w:rPr>
        <w:t>are</w:t>
      </w:r>
      <w:r w:rsidRPr="00B94FBF">
        <w:rPr>
          <w:b/>
          <w:i/>
        </w:rPr>
        <w:t xml:space="preserve"> beneficial for </w:t>
      </w:r>
      <w:r>
        <w:rPr>
          <w:b/>
          <w:i/>
        </w:rPr>
        <w:t>fair coexistence between NR-U and Wi-Fi.</w:t>
      </w:r>
    </w:p>
    <w:p w14:paraId="49498997" w14:textId="77777777" w:rsidR="001A4D2A" w:rsidRDefault="001A4D2A" w:rsidP="00C73F28">
      <w:pPr>
        <w:rPr>
          <w:b/>
          <w:i/>
          <w:highlight w:val="yellow"/>
          <w:u w:val="single"/>
        </w:rPr>
      </w:pPr>
    </w:p>
    <w:p w14:paraId="07B13205" w14:textId="77777777" w:rsidR="00821A8B" w:rsidRPr="00132814" w:rsidRDefault="00821A8B" w:rsidP="00821A8B">
      <w:pPr>
        <w:jc w:val="both"/>
        <w:rPr>
          <w:b/>
          <w:i/>
        </w:rPr>
      </w:pPr>
      <w:r w:rsidRPr="001A4D2A">
        <w:rPr>
          <w:b/>
          <w:i/>
          <w:u w:val="single"/>
        </w:rPr>
        <w:t>Proposal 1</w:t>
      </w:r>
      <w:r w:rsidRPr="001A4D2A">
        <w:rPr>
          <w:b/>
          <w:i/>
        </w:rPr>
        <w:t>: NR-U to support initial signal including detection pre-amble, COT, cell ID.</w:t>
      </w:r>
    </w:p>
    <w:p w14:paraId="253043BE" w14:textId="77777777" w:rsidR="001A4D2A" w:rsidRDefault="001A4D2A" w:rsidP="00C73F28">
      <w:pPr>
        <w:rPr>
          <w:b/>
          <w:i/>
          <w:highlight w:val="yellow"/>
          <w:u w:val="single"/>
        </w:rPr>
      </w:pPr>
    </w:p>
    <w:p w14:paraId="76D1A8EF" w14:textId="77777777" w:rsidR="00D91937" w:rsidRDefault="00D91937" w:rsidP="00D91937">
      <w:pPr>
        <w:jc w:val="both"/>
        <w:rPr>
          <w:b/>
          <w:i/>
        </w:rPr>
      </w:pPr>
      <w:r w:rsidRPr="001A4D2A">
        <w:rPr>
          <w:b/>
          <w:i/>
          <w:u w:val="single"/>
        </w:rPr>
        <w:t>Proposal 2</w:t>
      </w:r>
      <w:r w:rsidRPr="001A4D2A">
        <w:rPr>
          <w:b/>
          <w:i/>
        </w:rPr>
        <w:t>: For spectrum with existing Wi-Fi deployment, NR-U to include legacy Wi-Fi preamble in the initial signal.</w:t>
      </w:r>
    </w:p>
    <w:p w14:paraId="644AD4D4" w14:textId="77777777" w:rsidR="00D91937" w:rsidRDefault="00D91937" w:rsidP="00D91937">
      <w:pPr>
        <w:jc w:val="both"/>
        <w:rPr>
          <w:b/>
          <w:i/>
        </w:rPr>
      </w:pPr>
    </w:p>
    <w:p w14:paraId="25D3BA89" w14:textId="77777777" w:rsidR="00D91937" w:rsidRPr="00132814" w:rsidRDefault="00D91937" w:rsidP="00D91937">
      <w:pPr>
        <w:jc w:val="both"/>
        <w:rPr>
          <w:b/>
          <w:i/>
        </w:rPr>
      </w:pPr>
      <w:r w:rsidRPr="00D91937">
        <w:rPr>
          <w:b/>
          <w:i/>
          <w:u w:val="single"/>
        </w:rPr>
        <w:t>Proposal 3</w:t>
      </w:r>
      <w:r>
        <w:rPr>
          <w:b/>
          <w:i/>
        </w:rPr>
        <w:t xml:space="preserve">: For NR-U </w:t>
      </w:r>
      <w:proofErr w:type="spellStart"/>
      <w:r>
        <w:rPr>
          <w:b/>
          <w:i/>
        </w:rPr>
        <w:t>gNBs</w:t>
      </w:r>
      <w:proofErr w:type="spellEnd"/>
      <w:r>
        <w:rPr>
          <w:b/>
          <w:i/>
        </w:rPr>
        <w:t xml:space="preserve"> that choose to implement legacy Wi-Fi preamble detection in CCA, specifications should allow those </w:t>
      </w:r>
      <w:proofErr w:type="spellStart"/>
      <w:r>
        <w:rPr>
          <w:b/>
          <w:i/>
        </w:rPr>
        <w:t>gNBs</w:t>
      </w:r>
      <w:proofErr w:type="spellEnd"/>
      <w:r>
        <w:rPr>
          <w:b/>
          <w:i/>
        </w:rPr>
        <w:t xml:space="preserve"> to adopt the PD threshold of -82dBm and ED threshold of -62dBm</w:t>
      </w:r>
    </w:p>
    <w:p w14:paraId="6D068700" w14:textId="557BE927" w:rsidR="00CD4074" w:rsidRDefault="00CD4074" w:rsidP="0005407B">
      <w:pPr>
        <w:jc w:val="both"/>
        <w:rPr>
          <w:b/>
          <w:sz w:val="20"/>
          <w:szCs w:val="20"/>
        </w:rPr>
      </w:pPr>
    </w:p>
    <w:p w14:paraId="280C3918" w14:textId="77F72442" w:rsidR="00D91937" w:rsidRDefault="00D91937" w:rsidP="00D91937">
      <w:pPr>
        <w:jc w:val="both"/>
        <w:rPr>
          <w:b/>
          <w:i/>
        </w:rPr>
      </w:pPr>
      <w:r w:rsidRPr="001027AA">
        <w:rPr>
          <w:b/>
          <w:i/>
          <w:u w:val="single"/>
        </w:rPr>
        <w:t xml:space="preserve">Proposal </w:t>
      </w:r>
      <w:r>
        <w:rPr>
          <w:b/>
          <w:i/>
          <w:u w:val="single"/>
        </w:rPr>
        <w:t>4</w:t>
      </w:r>
      <w:r w:rsidRPr="001027AA">
        <w:rPr>
          <w:b/>
          <w:i/>
        </w:rPr>
        <w:t xml:space="preserve">: </w:t>
      </w:r>
      <w:r>
        <w:rPr>
          <w:b/>
          <w:i/>
        </w:rPr>
        <w:t>For new spectrum without incumbent Wi-Fi penetration, a new spectrum sharing and coexistence frame should be studied, and a joint design with Wi-Fi is preferable.</w:t>
      </w:r>
    </w:p>
    <w:p w14:paraId="5F36F04F" w14:textId="77777777" w:rsidR="00D91937" w:rsidRPr="001027AA" w:rsidRDefault="00D91937" w:rsidP="00D91937">
      <w:pPr>
        <w:jc w:val="both"/>
        <w:rPr>
          <w:b/>
          <w:i/>
        </w:rPr>
      </w:pPr>
    </w:p>
    <w:p w14:paraId="266AA6B9" w14:textId="356FB8EB" w:rsidR="00A43BBE" w:rsidRPr="00C963BC" w:rsidRDefault="00A43BBE" w:rsidP="00A43BBE">
      <w:pPr>
        <w:rPr>
          <w:b/>
          <w:i/>
        </w:rPr>
      </w:pPr>
      <w:r w:rsidRPr="00C963BC">
        <w:rPr>
          <w:b/>
          <w:i/>
          <w:u w:val="single"/>
        </w:rPr>
        <w:t xml:space="preserve">Proposal </w:t>
      </w:r>
      <w:r w:rsidR="00D91937">
        <w:rPr>
          <w:b/>
          <w:i/>
          <w:u w:val="single"/>
        </w:rPr>
        <w:t>5</w:t>
      </w:r>
      <w:r w:rsidRPr="00C963BC">
        <w:rPr>
          <w:b/>
          <w:i/>
        </w:rPr>
        <w:t xml:space="preserve">: </w:t>
      </w:r>
      <w:r>
        <w:rPr>
          <w:b/>
          <w:i/>
        </w:rPr>
        <w:t>NR-U devices should not be configured to monitor PDCCH at symbol or min</w:t>
      </w:r>
      <w:r w:rsidR="00D91937">
        <w:rPr>
          <w:b/>
          <w:i/>
        </w:rPr>
        <w:t>i</w:t>
      </w:r>
      <w:r>
        <w:rPr>
          <w:b/>
          <w:i/>
        </w:rPr>
        <w:t xml:space="preserve">-slot level outside of </w:t>
      </w:r>
      <w:proofErr w:type="spellStart"/>
      <w:r>
        <w:rPr>
          <w:b/>
          <w:i/>
        </w:rPr>
        <w:t>CoT</w:t>
      </w:r>
      <w:proofErr w:type="spellEnd"/>
      <w:r>
        <w:rPr>
          <w:b/>
          <w:i/>
        </w:rPr>
        <w:t>, unless low power wake up mechanism (or initial signal) is adopted.</w:t>
      </w:r>
    </w:p>
    <w:p w14:paraId="0DAC4F4B" w14:textId="77777777" w:rsidR="00A43BBE" w:rsidRDefault="00A43BBE"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6C3EA8" w:rsidRDefault="00834197"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4"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4"/>
    </w:p>
    <w:p w14:paraId="67387FB4" w14:textId="42A576A7" w:rsidR="008B4716" w:rsidRPr="008B4716" w:rsidRDefault="00017ED9"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5" w:name="_Ref521592019"/>
      <w:r>
        <w:rPr>
          <w:sz w:val="20"/>
        </w:rPr>
        <w:t xml:space="preserve"> </w:t>
      </w:r>
      <w:r w:rsidR="008B4716">
        <w:rPr>
          <w:sz w:val="20"/>
        </w:rPr>
        <w:t>“Chairman’s notes RAN1 93 final”, 3GPP RAN1 #93, Busan, Korea, 21</w:t>
      </w:r>
      <w:r w:rsidR="008B4716" w:rsidRPr="00AE6F9E">
        <w:rPr>
          <w:sz w:val="20"/>
          <w:vertAlign w:val="superscript"/>
        </w:rPr>
        <w:t>st</w:t>
      </w:r>
      <w:r w:rsidR="008B4716">
        <w:rPr>
          <w:sz w:val="20"/>
        </w:rPr>
        <w:t xml:space="preserve"> – 25</w:t>
      </w:r>
      <w:r w:rsidR="008B4716" w:rsidRPr="000D3138">
        <w:rPr>
          <w:sz w:val="20"/>
          <w:vertAlign w:val="superscript"/>
        </w:rPr>
        <w:t>th</w:t>
      </w:r>
      <w:r w:rsidR="008B4716">
        <w:rPr>
          <w:sz w:val="20"/>
        </w:rPr>
        <w:t>, May, 2018.</w:t>
      </w:r>
      <w:bookmarkEnd w:id="5"/>
    </w:p>
    <w:p w14:paraId="47CC749D" w14:textId="4E215F4C" w:rsidR="00D533ED" w:rsidRPr="006C5678" w:rsidRDefault="00D533E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6"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6"/>
    </w:p>
    <w:p w14:paraId="7151BA9A" w14:textId="14082DBB" w:rsidR="006C5678" w:rsidRDefault="006C567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7" w:name="_Ref506468732"/>
      <w:r>
        <w:rPr>
          <w:sz w:val="20"/>
          <w:szCs w:val="20"/>
        </w:rPr>
        <w:t>ETSI EN 302 567, “Multiple-Gigabit radio equipment operating in the 60GHz band”</w:t>
      </w:r>
      <w:bookmarkEnd w:id="7"/>
    </w:p>
    <w:p w14:paraId="388684DD" w14:textId="77CB39E2"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8" w:name="_Ref525913885"/>
      <w:r w:rsidRPr="00AE7CCD">
        <w:rPr>
          <w:sz w:val="20"/>
          <w:szCs w:val="20"/>
          <w:lang w:val="en-GB"/>
        </w:rPr>
        <w:t>R1-1808690</w:t>
      </w:r>
      <w:r>
        <w:rPr>
          <w:sz w:val="20"/>
          <w:szCs w:val="20"/>
          <w:lang w:val="en-GB"/>
        </w:rPr>
        <w:t>,</w:t>
      </w:r>
      <w:r w:rsidRPr="00AE7CCD">
        <w:rPr>
          <w:sz w:val="20"/>
          <w:szCs w:val="20"/>
          <w:lang w:val="en-GB"/>
        </w:rPr>
        <w:tab/>
      </w:r>
      <w:r>
        <w:rPr>
          <w:sz w:val="20"/>
          <w:szCs w:val="20"/>
          <w:lang w:val="en-GB"/>
        </w:rPr>
        <w:t>“</w:t>
      </w:r>
      <w:r w:rsidRPr="00AE7CCD">
        <w:rPr>
          <w:sz w:val="20"/>
          <w:szCs w:val="20"/>
          <w:lang w:val="en-GB"/>
        </w:rPr>
        <w:t>Initial design on technology neutral preamble for unlicensed operation</w:t>
      </w:r>
      <w:r>
        <w:rPr>
          <w:sz w:val="20"/>
          <w:szCs w:val="20"/>
          <w:lang w:val="en-GB"/>
        </w:rPr>
        <w:t xml:space="preserve">”, </w:t>
      </w:r>
      <w:r w:rsidRPr="00AE7CCD">
        <w:rPr>
          <w:sz w:val="20"/>
          <w:szCs w:val="20"/>
          <w:lang w:val="en-GB"/>
        </w:rPr>
        <w:t>Intel Corporation</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8"/>
    </w:p>
    <w:p w14:paraId="48112833" w14:textId="512AB8BA"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9" w:name="_Ref525913893"/>
      <w:r w:rsidRPr="00AE7CCD">
        <w:rPr>
          <w:sz w:val="20"/>
          <w:szCs w:val="20"/>
          <w:lang w:val="en-GB"/>
        </w:rPr>
        <w:t>R1-1809062</w:t>
      </w:r>
      <w:r>
        <w:rPr>
          <w:sz w:val="20"/>
          <w:szCs w:val="20"/>
          <w:lang w:val="en-GB"/>
        </w:rPr>
        <w:t>,</w:t>
      </w:r>
      <w:r w:rsidRPr="00AE7CCD">
        <w:rPr>
          <w:sz w:val="20"/>
          <w:szCs w:val="20"/>
          <w:lang w:val="en-GB"/>
        </w:rPr>
        <w:tab/>
      </w:r>
      <w:r>
        <w:rPr>
          <w:sz w:val="20"/>
          <w:szCs w:val="20"/>
          <w:lang w:val="en-GB"/>
        </w:rPr>
        <w:t>“</w:t>
      </w:r>
      <w:r w:rsidRPr="00AE7CCD">
        <w:rPr>
          <w:sz w:val="20"/>
          <w:szCs w:val="20"/>
          <w:lang w:val="en-GB"/>
        </w:rPr>
        <w:t>NR-U design for DL signals and channels</w:t>
      </w:r>
      <w:r>
        <w:rPr>
          <w:sz w:val="20"/>
          <w:szCs w:val="20"/>
          <w:lang w:val="en-GB"/>
        </w:rPr>
        <w:t xml:space="preserve">”, </w:t>
      </w:r>
      <w:r w:rsidRPr="00AE7CCD">
        <w:rPr>
          <w:sz w:val="20"/>
          <w:szCs w:val="20"/>
          <w:lang w:val="en-GB"/>
        </w:rPr>
        <w:t>AT&amp;T</w:t>
      </w:r>
      <w:r>
        <w:rPr>
          <w:sz w:val="20"/>
          <w:szCs w:val="20"/>
          <w:lang w:val="en-GB"/>
        </w:rPr>
        <w:t>,</w:t>
      </w:r>
      <w:r w:rsidRPr="00AE7CCD">
        <w:rPr>
          <w:sz w:val="20"/>
          <w:szCs w:val="20"/>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9"/>
    </w:p>
    <w:p w14:paraId="6924871F" w14:textId="3B11A651"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0" w:name="_Ref525913895"/>
      <w:r w:rsidRPr="00AE7CCD">
        <w:rPr>
          <w:sz w:val="20"/>
          <w:szCs w:val="20"/>
          <w:lang w:val="en-GB"/>
        </w:rPr>
        <w:t>R1-1809476</w:t>
      </w:r>
      <w:r>
        <w:rPr>
          <w:sz w:val="20"/>
          <w:szCs w:val="20"/>
          <w:lang w:val="en-GB"/>
        </w:rPr>
        <w:t>,</w:t>
      </w:r>
      <w:r w:rsidRPr="00AE7CCD">
        <w:rPr>
          <w:sz w:val="20"/>
          <w:szCs w:val="20"/>
          <w:lang w:val="en-GB"/>
        </w:rPr>
        <w:tab/>
      </w:r>
      <w:r>
        <w:rPr>
          <w:sz w:val="20"/>
          <w:szCs w:val="20"/>
          <w:lang w:val="en-GB"/>
        </w:rPr>
        <w:t>“</w:t>
      </w:r>
      <w:r w:rsidRPr="00AE7CCD">
        <w:rPr>
          <w:sz w:val="20"/>
          <w:szCs w:val="20"/>
          <w:lang w:val="en-GB"/>
        </w:rPr>
        <w:t>Frame structure for NR-U operation</w:t>
      </w:r>
      <w:r>
        <w:rPr>
          <w:sz w:val="20"/>
          <w:szCs w:val="20"/>
          <w:lang w:val="en-GB"/>
        </w:rPr>
        <w:t xml:space="preserve">”, </w:t>
      </w:r>
      <w:r w:rsidRPr="00AE7CCD">
        <w:rPr>
          <w:sz w:val="20"/>
          <w:szCs w:val="20"/>
          <w:lang w:val="en-GB"/>
        </w:rPr>
        <w:t>Qualcomm Incorporated</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0"/>
    </w:p>
    <w:p w14:paraId="0EB59A11" w14:textId="39A4465C" w:rsidR="00AE7CCD" w:rsidRPr="00AE7CCD" w:rsidRDefault="00AE7CCD"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lang w:val="en-GB"/>
        </w:rPr>
      </w:pPr>
      <w:bookmarkStart w:id="11" w:name="_Ref525913897"/>
      <w:r w:rsidRPr="00AE7CCD">
        <w:rPr>
          <w:sz w:val="20"/>
          <w:szCs w:val="20"/>
          <w:lang w:val="en-GB"/>
        </w:rPr>
        <w:t>R1-1808271</w:t>
      </w:r>
      <w:r>
        <w:rPr>
          <w:sz w:val="20"/>
          <w:szCs w:val="20"/>
          <w:lang w:val="en-GB"/>
        </w:rPr>
        <w:t>,</w:t>
      </w:r>
      <w:r w:rsidRPr="00AE7CCD">
        <w:rPr>
          <w:sz w:val="20"/>
          <w:szCs w:val="20"/>
          <w:lang w:val="en-GB"/>
        </w:rPr>
        <w:tab/>
      </w:r>
      <w:r>
        <w:rPr>
          <w:sz w:val="20"/>
          <w:szCs w:val="20"/>
          <w:lang w:val="en-GB"/>
        </w:rPr>
        <w:t>“</w:t>
      </w:r>
      <w:r w:rsidRPr="00AE7CCD">
        <w:rPr>
          <w:sz w:val="20"/>
          <w:szCs w:val="20"/>
          <w:lang w:val="en-GB"/>
        </w:rPr>
        <w:t>On frame structure design for NR-U operation</w:t>
      </w:r>
      <w:r>
        <w:rPr>
          <w:sz w:val="20"/>
          <w:szCs w:val="20"/>
          <w:lang w:val="en-GB"/>
        </w:rPr>
        <w:t xml:space="preserve">”, </w:t>
      </w:r>
      <w:r w:rsidRPr="00AE7CCD">
        <w:rPr>
          <w:sz w:val="20"/>
          <w:szCs w:val="20"/>
          <w:lang w:val="en-GB"/>
        </w:rPr>
        <w:t>MediaTek Inc.</w:t>
      </w:r>
      <w:r>
        <w:rPr>
          <w:sz w:val="20"/>
          <w:szCs w:val="20"/>
          <w:lang w:val="en-GB"/>
        </w:rPr>
        <w:t xml:space="preserve">, </w:t>
      </w:r>
      <w:r>
        <w:rPr>
          <w:sz w:val="20"/>
          <w:szCs w:val="20"/>
        </w:rPr>
        <w:t>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1"/>
    </w:p>
    <w:p w14:paraId="43137DC4" w14:textId="73737BDB" w:rsidR="00FF1DA2" w:rsidRDefault="00FF1DA2"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2" w:name="_Ref510794934"/>
      <w:r>
        <w:rPr>
          <w:sz w:val="20"/>
          <w:szCs w:val="20"/>
        </w:rPr>
        <w:t>R1-180</w:t>
      </w:r>
      <w:r w:rsidR="004B347B">
        <w:rPr>
          <w:sz w:val="20"/>
          <w:szCs w:val="20"/>
        </w:rPr>
        <w:t>8611</w:t>
      </w:r>
      <w:r>
        <w:rPr>
          <w:sz w:val="20"/>
          <w:szCs w:val="20"/>
        </w:rPr>
        <w:t>, “</w:t>
      </w:r>
      <w:r w:rsidR="004B347B">
        <w:rPr>
          <w:sz w:val="20"/>
          <w:szCs w:val="20"/>
        </w:rPr>
        <w:t>Channel access procedures</w:t>
      </w:r>
      <w:r>
        <w:rPr>
          <w:sz w:val="20"/>
          <w:szCs w:val="20"/>
        </w:rPr>
        <w:t xml:space="preserve"> for NR-U”, Apple Inc.,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4DBB39B9" w14:textId="19DB2B3A" w:rsidR="008C02EF" w:rsidRDefault="008C02EF"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3" w:name="_Ref525914517"/>
      <w:r>
        <w:rPr>
          <w:sz w:val="20"/>
          <w:szCs w:val="20"/>
        </w:rPr>
        <w:t>RP-181537, “Spectrum sharing for NR unlicensed in new bands less than 7GHz”, AT&amp;T, 3GPP RAN #81, Gold Coast, Australia, 10</w:t>
      </w:r>
      <w:r w:rsidRPr="008C02EF">
        <w:rPr>
          <w:sz w:val="20"/>
          <w:szCs w:val="20"/>
          <w:vertAlign w:val="superscript"/>
        </w:rPr>
        <w:t>th</w:t>
      </w:r>
      <w:r>
        <w:rPr>
          <w:sz w:val="20"/>
          <w:szCs w:val="20"/>
        </w:rPr>
        <w:t>-13</w:t>
      </w:r>
      <w:r w:rsidRPr="008C02EF">
        <w:rPr>
          <w:sz w:val="20"/>
          <w:szCs w:val="20"/>
          <w:vertAlign w:val="superscript"/>
        </w:rPr>
        <w:t>th</w:t>
      </w:r>
      <w:r>
        <w:rPr>
          <w:sz w:val="20"/>
          <w:szCs w:val="20"/>
        </w:rPr>
        <w:t>, September 2018.</w:t>
      </w:r>
      <w:bookmarkEnd w:id="13"/>
    </w:p>
    <w:p w14:paraId="1BA7B619" w14:textId="6BD6C362" w:rsidR="00CB65F8" w:rsidRPr="004B347B"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4" w:name="_Ref525914856"/>
      <w:bookmarkStart w:id="15" w:name="_Ref521533395"/>
      <w:r>
        <w:rPr>
          <w:sz w:val="20"/>
          <w:szCs w:val="20"/>
        </w:rPr>
        <w:t>R1-1811119, “Channel access procedure for NR-U”, Apple Inc., 3GPP RAN1 #94bis, 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4"/>
    </w:p>
    <w:p w14:paraId="73140E2C" w14:textId="14E983F1" w:rsidR="00B00240" w:rsidRDefault="00CB65F8"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6" w:name="_Ref525914857"/>
      <w:r>
        <w:rPr>
          <w:sz w:val="20"/>
          <w:szCs w:val="20"/>
        </w:rPr>
        <w:lastRenderedPageBreak/>
        <w:t>R1-1811121</w:t>
      </w:r>
      <w:r w:rsidR="00FF1DA2">
        <w:rPr>
          <w:sz w:val="20"/>
          <w:szCs w:val="20"/>
        </w:rPr>
        <w:t>, “On UL signals and channels for NR-U”, Apple Inc., 3GPP RAN1 #94</w:t>
      </w:r>
      <w:r>
        <w:rPr>
          <w:sz w:val="20"/>
          <w:szCs w:val="20"/>
        </w:rPr>
        <w:t>bis</w:t>
      </w:r>
      <w:r w:rsidR="00FF1DA2">
        <w:rPr>
          <w:sz w:val="20"/>
          <w:szCs w:val="20"/>
        </w:rPr>
        <w:t xml:space="preserve">, </w:t>
      </w:r>
      <w:bookmarkEnd w:id="15"/>
      <w:r>
        <w:rPr>
          <w:sz w:val="20"/>
          <w:szCs w:val="20"/>
        </w:rPr>
        <w:t>Chengdu, China, 8</w:t>
      </w:r>
      <w:r w:rsidRPr="00C722B1">
        <w:rPr>
          <w:sz w:val="20"/>
          <w:szCs w:val="20"/>
          <w:vertAlign w:val="superscript"/>
        </w:rPr>
        <w:t>th</w:t>
      </w:r>
      <w:r>
        <w:rPr>
          <w:sz w:val="20"/>
          <w:szCs w:val="20"/>
        </w:rPr>
        <w:t xml:space="preserve"> – 12</w:t>
      </w:r>
      <w:r w:rsidRPr="00C722B1">
        <w:rPr>
          <w:sz w:val="20"/>
          <w:szCs w:val="20"/>
          <w:vertAlign w:val="superscript"/>
        </w:rPr>
        <w:t>th</w:t>
      </w:r>
      <w:r>
        <w:rPr>
          <w:sz w:val="20"/>
          <w:szCs w:val="20"/>
        </w:rPr>
        <w:t>, October 2018.</w:t>
      </w:r>
      <w:bookmarkEnd w:id="16"/>
    </w:p>
    <w:p w14:paraId="4C11E15B" w14:textId="77777777" w:rsidR="00FD2CEC" w:rsidRPr="009A4858" w:rsidRDefault="00FD2CEC" w:rsidP="00FD2CE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7"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7"/>
    </w:p>
    <w:p w14:paraId="5D777D61" w14:textId="10E4375E" w:rsidR="00FD2CEC" w:rsidRPr="004B347B" w:rsidRDefault="00FD2CEC" w:rsidP="00CB65F8">
      <w:pPr>
        <w:numPr>
          <w:ilvl w:val="0"/>
          <w:numId w:val="14"/>
        </w:numPr>
        <w:overflowPunct w:val="0"/>
        <w:autoSpaceDE w:val="0"/>
        <w:autoSpaceDN w:val="0"/>
        <w:adjustRightInd w:val="0"/>
        <w:spacing w:before="100" w:beforeAutospacing="1" w:after="100" w:afterAutospacing="1"/>
        <w:ind w:left="562" w:hanging="562"/>
        <w:jc w:val="both"/>
        <w:textAlignment w:val="baseline"/>
        <w:rPr>
          <w:sz w:val="20"/>
          <w:szCs w:val="20"/>
        </w:rPr>
      </w:pPr>
      <w:bookmarkStart w:id="18" w:name="_Ref528921388"/>
      <w:r>
        <w:rPr>
          <w:sz w:val="20"/>
          <w:szCs w:val="20"/>
        </w:rPr>
        <w:t xml:space="preserve">R1-1811911, “Feature lead summary for NR-U DL signals and channels”, Motorola Mobility, Lenovo, 3GPP RAN1 #94bis, Chengdu, China, </w:t>
      </w:r>
      <w:r>
        <w:rPr>
          <w:sz w:val="20"/>
          <w:szCs w:val="20"/>
        </w:rPr>
        <w:t>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r>
        <w:rPr>
          <w:sz w:val="20"/>
          <w:szCs w:val="20"/>
        </w:rPr>
        <w:t>.</w:t>
      </w:r>
      <w:bookmarkEnd w:id="18"/>
    </w:p>
    <w:sectPr w:rsidR="00FD2CEC" w:rsidRPr="004B347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E7F27" w14:textId="77777777" w:rsidR="00EA5DF0" w:rsidRDefault="00EA5DF0">
      <w:r>
        <w:separator/>
      </w:r>
    </w:p>
  </w:endnote>
  <w:endnote w:type="continuationSeparator" w:id="0">
    <w:p w14:paraId="4F098EDC" w14:textId="77777777" w:rsidR="00EA5DF0" w:rsidRDefault="00EA5DF0">
      <w:r>
        <w:continuationSeparator/>
      </w:r>
    </w:p>
  </w:endnote>
  <w:endnote w:type="continuationNotice" w:id="1">
    <w:p w14:paraId="5889FA39" w14:textId="77777777" w:rsidR="00EA5DF0" w:rsidRDefault="00EA5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8A93E" w14:textId="77777777" w:rsidR="00EA5DF0" w:rsidRDefault="00EA5DF0">
      <w:r>
        <w:separator/>
      </w:r>
    </w:p>
  </w:footnote>
  <w:footnote w:type="continuationSeparator" w:id="0">
    <w:p w14:paraId="6C8DDB68" w14:textId="77777777" w:rsidR="00EA5DF0" w:rsidRDefault="00EA5DF0">
      <w:r>
        <w:continuationSeparator/>
      </w:r>
    </w:p>
  </w:footnote>
  <w:footnote w:type="continuationNotice" w:id="1">
    <w:p w14:paraId="0A41D1A6" w14:textId="77777777" w:rsidR="00EA5DF0" w:rsidRDefault="00EA5D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63121"/>
    <w:multiLevelType w:val="hybridMultilevel"/>
    <w:tmpl w:val="314A3A7E"/>
    <w:lvl w:ilvl="0" w:tplc="EFD0C6F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3"/>
  </w:num>
  <w:num w:numId="6">
    <w:abstractNumId w:val="23"/>
  </w:num>
  <w:num w:numId="7">
    <w:abstractNumId w:val="30"/>
  </w:num>
  <w:num w:numId="8">
    <w:abstractNumId w:val="14"/>
  </w:num>
  <w:num w:numId="9">
    <w:abstractNumId w:val="27"/>
  </w:num>
  <w:num w:numId="10">
    <w:abstractNumId w:val="16"/>
  </w:num>
  <w:num w:numId="11">
    <w:abstractNumId w:val="15"/>
  </w:num>
  <w:num w:numId="12">
    <w:abstractNumId w:val="31"/>
  </w:num>
  <w:num w:numId="13">
    <w:abstractNumId w:val="8"/>
  </w:num>
  <w:num w:numId="14">
    <w:abstractNumId w:val="1"/>
  </w:num>
  <w:num w:numId="15">
    <w:abstractNumId w:val="5"/>
  </w:num>
  <w:num w:numId="16">
    <w:abstractNumId w:val="33"/>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5"/>
  </w:num>
  <w:num w:numId="23">
    <w:abstractNumId w:val="32"/>
  </w:num>
  <w:num w:numId="24">
    <w:abstractNumId w:val="6"/>
  </w:num>
  <w:num w:numId="25">
    <w:abstractNumId w:val="18"/>
  </w:num>
  <w:num w:numId="26">
    <w:abstractNumId w:val="29"/>
  </w:num>
  <w:num w:numId="27">
    <w:abstractNumId w:val="2"/>
  </w:num>
  <w:num w:numId="28">
    <w:abstractNumId w:val="10"/>
  </w:num>
  <w:num w:numId="29">
    <w:abstractNumId w:val="9"/>
  </w:num>
  <w:num w:numId="30">
    <w:abstractNumId w:val="28"/>
  </w:num>
  <w:num w:numId="31">
    <w:abstractNumId w:val="7"/>
  </w:num>
  <w:num w:numId="32">
    <w:abstractNumId w:val="24"/>
  </w:num>
  <w:num w:numId="33">
    <w:abstractNumId w:val="22"/>
  </w:num>
  <w:num w:numId="34">
    <w:abstractNumId w:val="11"/>
  </w:num>
  <w:num w:numId="35">
    <w:abstractNumId w:val="21"/>
  </w:num>
  <w:num w:numId="36">
    <w:abstractNumId w:val="17"/>
  </w:num>
  <w:num w:numId="3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17ED9"/>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9B9"/>
    <w:rsid w:val="00065E1A"/>
    <w:rsid w:val="000668B8"/>
    <w:rsid w:val="00066994"/>
    <w:rsid w:val="00067759"/>
    <w:rsid w:val="000679D1"/>
    <w:rsid w:val="00067C00"/>
    <w:rsid w:val="000707A2"/>
    <w:rsid w:val="000708A3"/>
    <w:rsid w:val="00071F96"/>
    <w:rsid w:val="00075BB5"/>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31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7C5"/>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4FE7"/>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814"/>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4D2A"/>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339B"/>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1F76F3"/>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774"/>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4797"/>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3F6"/>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88C"/>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47C5"/>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2"/>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7C4"/>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98"/>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47B"/>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6D3"/>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287A"/>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2FB"/>
    <w:rsid w:val="0063753A"/>
    <w:rsid w:val="006377EC"/>
    <w:rsid w:val="00640116"/>
    <w:rsid w:val="006401D0"/>
    <w:rsid w:val="00640228"/>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639D"/>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5F6"/>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548"/>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DB8"/>
    <w:rsid w:val="00797F56"/>
    <w:rsid w:val="007A1CB3"/>
    <w:rsid w:val="007A2CF7"/>
    <w:rsid w:val="007A306F"/>
    <w:rsid w:val="007A3472"/>
    <w:rsid w:val="007A3C8F"/>
    <w:rsid w:val="007A4023"/>
    <w:rsid w:val="007A43A6"/>
    <w:rsid w:val="007A4A85"/>
    <w:rsid w:val="007A5274"/>
    <w:rsid w:val="007A55EF"/>
    <w:rsid w:val="007A5706"/>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A8B"/>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51C"/>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16"/>
    <w:rsid w:val="008B4748"/>
    <w:rsid w:val="008B48C0"/>
    <w:rsid w:val="008B4C59"/>
    <w:rsid w:val="008B515C"/>
    <w:rsid w:val="008B51A0"/>
    <w:rsid w:val="008B55F4"/>
    <w:rsid w:val="008B592A"/>
    <w:rsid w:val="008B5CE9"/>
    <w:rsid w:val="008B5DC6"/>
    <w:rsid w:val="008B6712"/>
    <w:rsid w:val="008B7155"/>
    <w:rsid w:val="008B7B5C"/>
    <w:rsid w:val="008B7D6F"/>
    <w:rsid w:val="008C02E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3ADD"/>
    <w:rsid w:val="00904510"/>
    <w:rsid w:val="00904BE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A67"/>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00D"/>
    <w:rsid w:val="009545BB"/>
    <w:rsid w:val="00954F4F"/>
    <w:rsid w:val="0095540B"/>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0FAF"/>
    <w:rsid w:val="009D189F"/>
    <w:rsid w:val="009D1931"/>
    <w:rsid w:val="009D1A0A"/>
    <w:rsid w:val="009D1E0C"/>
    <w:rsid w:val="009D22A0"/>
    <w:rsid w:val="009D249B"/>
    <w:rsid w:val="009D318D"/>
    <w:rsid w:val="009D326D"/>
    <w:rsid w:val="009D389D"/>
    <w:rsid w:val="009D45B9"/>
    <w:rsid w:val="009D4E0A"/>
    <w:rsid w:val="009D4EED"/>
    <w:rsid w:val="009D4FF0"/>
    <w:rsid w:val="009D5157"/>
    <w:rsid w:val="009D665B"/>
    <w:rsid w:val="009D66B1"/>
    <w:rsid w:val="009D671A"/>
    <w:rsid w:val="009D69BE"/>
    <w:rsid w:val="009D703C"/>
    <w:rsid w:val="009D718F"/>
    <w:rsid w:val="009D7272"/>
    <w:rsid w:val="009D7848"/>
    <w:rsid w:val="009D7FB5"/>
    <w:rsid w:val="009E068F"/>
    <w:rsid w:val="009E0901"/>
    <w:rsid w:val="009E0F56"/>
    <w:rsid w:val="009E13F4"/>
    <w:rsid w:val="009E14E0"/>
    <w:rsid w:val="009E16FF"/>
    <w:rsid w:val="009E1BB7"/>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08EC"/>
    <w:rsid w:val="00A4151F"/>
    <w:rsid w:val="00A41966"/>
    <w:rsid w:val="00A41E2B"/>
    <w:rsid w:val="00A42616"/>
    <w:rsid w:val="00A43184"/>
    <w:rsid w:val="00A436F3"/>
    <w:rsid w:val="00A43BBE"/>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E7CCD"/>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8A8"/>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37FCB"/>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4FBF"/>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1FD6"/>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496"/>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396F"/>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65F8"/>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484"/>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37"/>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72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553"/>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5DF0"/>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405D"/>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7102"/>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9E1"/>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65EA"/>
    <w:rsid w:val="00FC7413"/>
    <w:rsid w:val="00FC7429"/>
    <w:rsid w:val="00FC7653"/>
    <w:rsid w:val="00FC785A"/>
    <w:rsid w:val="00FC7868"/>
    <w:rsid w:val="00FD0499"/>
    <w:rsid w:val="00FD07F6"/>
    <w:rsid w:val="00FD0F14"/>
    <w:rsid w:val="00FD1E1B"/>
    <w:rsid w:val="00FD1EC8"/>
    <w:rsid w:val="00FD22FA"/>
    <w:rsid w:val="00FD2AEA"/>
    <w:rsid w:val="00FD2B52"/>
    <w:rsid w:val="00FD2CEC"/>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1DA2"/>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5540B"/>
    <w:pPr>
      <w:widowControl w:val="0"/>
      <w:numPr>
        <w:numId w:val="34"/>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5540B"/>
    <w:rPr>
      <w:rFonts w:ascii="Times New Roman" w:eastAsia="Times New Roman" w:hAnsi="Times New Roman"/>
      <w:kern w:val="2"/>
      <w:szCs w:val="24"/>
      <w:lang w:val="en-GB" w:eastAsia="en-US"/>
    </w:rPr>
  </w:style>
  <w:style w:type="paragraph" w:customStyle="1" w:styleId="References">
    <w:name w:val="References"/>
    <w:basedOn w:val="Normal"/>
    <w:rsid w:val="00AE7CCD"/>
    <w:pPr>
      <w:numPr>
        <w:numId w:val="36"/>
      </w:numPr>
      <w:autoSpaceDE w:val="0"/>
      <w:autoSpaceDN w:val="0"/>
      <w:spacing w:before="60" w:after="60" w:line="360" w:lineRule="atLeast"/>
      <w:jc w:val="both"/>
    </w:pPr>
    <w:rPr>
      <w:rFonts w:eastAsia="SimSun"/>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93068-ADBB-E24F-944A-1F5F3490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50</TotalTime>
  <Pages>6</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11</cp:revision>
  <cp:lastPrinted>2008-01-31T16:09:00Z</cp:lastPrinted>
  <dcterms:created xsi:type="dcterms:W3CDTF">2018-11-02T17:24:00Z</dcterms:created>
  <dcterms:modified xsi:type="dcterms:W3CDTF">2018-11-02T19:02:00Z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